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43" w:rsidRDefault="00760243" w:rsidP="00760243">
      <w:pPr>
        <w:pStyle w:val="Hlavika"/>
      </w:pPr>
      <w:r>
        <w:tab/>
      </w:r>
      <w:r>
        <w:tab/>
      </w:r>
    </w:p>
    <w:p w:rsidR="00760243" w:rsidRDefault="00760243" w:rsidP="00760243">
      <w:pPr>
        <w:pStyle w:val="Pta"/>
      </w:pPr>
    </w:p>
    <w:p w:rsidR="00760243" w:rsidRDefault="00760243" w:rsidP="00760243">
      <w:pPr>
        <w:pStyle w:val="Nzov"/>
        <w:spacing w:before="2880" w:after="2040"/>
      </w:pPr>
      <w:r>
        <w:t xml:space="preserve">Analýza zverejňovania </w:t>
      </w:r>
      <w:proofErr w:type="spellStart"/>
      <w:r>
        <w:t>datasetov</w:t>
      </w:r>
      <w:proofErr w:type="spellEnd"/>
      <w:r>
        <w:t xml:space="preserve"> ústredných orgánov štátnej správy</w:t>
      </w:r>
      <w:r>
        <w:br/>
        <w:t>na portáli otvorených dát</w:t>
      </w:r>
      <w:r>
        <w:br/>
        <w:t>2019</w:t>
      </w:r>
    </w:p>
    <w:p w:rsidR="00760243" w:rsidRDefault="00760243" w:rsidP="00760243">
      <w:pPr>
        <w:pStyle w:val="Standard"/>
        <w:spacing w:after="2835" w:line="276" w:lineRule="auto"/>
        <w:jc w:val="center"/>
        <w:rPr>
          <w:b/>
          <w:bCs/>
          <w:sz w:val="28"/>
          <w:szCs w:val="28"/>
        </w:rPr>
      </w:pPr>
      <w:r>
        <w:rPr>
          <w:b/>
          <w:bCs/>
          <w:sz w:val="28"/>
          <w:szCs w:val="28"/>
        </w:rPr>
        <w:t>na základe</w:t>
      </w:r>
      <w:r>
        <w:rPr>
          <w:b/>
          <w:bCs/>
          <w:sz w:val="28"/>
          <w:szCs w:val="28"/>
        </w:rPr>
        <w:br/>
        <w:t>Akčného plánu Iniciatívy pre otvorené vládnutie v Slovenskej republike</w:t>
      </w:r>
      <w:r>
        <w:rPr>
          <w:b/>
          <w:bCs/>
          <w:sz w:val="28"/>
          <w:szCs w:val="28"/>
        </w:rPr>
        <w:br/>
        <w:t>na roky 2017 – 2019, schváleného Uznesením vlády SR č. 104/2017</w:t>
      </w:r>
    </w:p>
    <w:p w:rsidR="00760243" w:rsidRDefault="00760243" w:rsidP="00760243">
      <w:pPr>
        <w:pStyle w:val="Standard"/>
        <w:rPr>
          <w:b/>
          <w:bCs/>
          <w:sz w:val="28"/>
          <w:szCs w:val="28"/>
        </w:rPr>
      </w:pPr>
      <w:r>
        <w:rPr>
          <w:b/>
          <w:bCs/>
          <w:noProof/>
          <w:sz w:val="28"/>
          <w:szCs w:val="28"/>
          <w:lang w:eastAsia="sk-SK" w:bidi="ar-SA"/>
        </w:rPr>
        <w:drawing>
          <wp:anchor distT="0" distB="0" distL="114300" distR="114300" simplePos="0" relativeHeight="251659264" behindDoc="0" locked="0" layoutInCell="1" allowOverlap="1" wp14:anchorId="20000523" wp14:editId="3BD1D373">
            <wp:simplePos x="0" y="0"/>
            <wp:positionH relativeFrom="column">
              <wp:align>right</wp:align>
            </wp:positionH>
            <wp:positionV relativeFrom="paragraph">
              <wp:align>top</wp:align>
            </wp:positionV>
            <wp:extent cx="1117440" cy="393840"/>
            <wp:effectExtent l="0" t="0" r="6510" b="6210"/>
            <wp:wrapSquare wrapText="bothSides"/>
            <wp:docPr id="3" name="Obrázo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17440" cy="393840"/>
                    </a:xfrm>
                    <a:prstGeom prst="rect">
                      <a:avLst/>
                    </a:prstGeom>
                  </pic:spPr>
                </pic:pic>
              </a:graphicData>
            </a:graphic>
          </wp:anchor>
        </w:drawing>
      </w:r>
      <w:r>
        <w:rPr>
          <w:b/>
          <w:bCs/>
          <w:sz w:val="28"/>
          <w:szCs w:val="28"/>
        </w:rPr>
        <w:t>Bratislava, 28.6.2019</w:t>
      </w:r>
    </w:p>
    <w:p w:rsidR="00760243" w:rsidRDefault="00760243" w:rsidP="00760243">
      <w:pPr>
        <w:pStyle w:val="ContentsHeading"/>
        <w:pageBreakBefore/>
        <w:tabs>
          <w:tab w:val="right" w:pos="9406"/>
        </w:tabs>
      </w:pPr>
      <w:r>
        <w:rPr>
          <w:rFonts w:eastAsia="DejaVu Sans" w:cs="DejaVu Sans"/>
          <w:b w:val="0"/>
          <w:bCs w:val="0"/>
          <w:sz w:val="24"/>
          <w:szCs w:val="24"/>
        </w:rPr>
        <w:lastRenderedPageBreak/>
        <w:fldChar w:fldCharType="begin"/>
      </w:r>
      <w:r>
        <w:instrText xml:space="preserve"> TOC \o "1-9" \u \l 1-9 \h </w:instrText>
      </w:r>
      <w:r>
        <w:rPr>
          <w:rFonts w:eastAsia="DejaVu Sans" w:cs="DejaVu Sans"/>
          <w:b w:val="0"/>
          <w:bCs w:val="0"/>
          <w:sz w:val="24"/>
          <w:szCs w:val="24"/>
        </w:rPr>
        <w:fldChar w:fldCharType="separate"/>
      </w:r>
      <w:r>
        <w:t>Obsah</w:t>
      </w:r>
    </w:p>
    <w:p w:rsidR="00760243" w:rsidRDefault="00760243" w:rsidP="00760243">
      <w:pPr>
        <w:pStyle w:val="Contents1"/>
        <w:tabs>
          <w:tab w:val="right" w:pos="9638"/>
        </w:tabs>
      </w:pPr>
      <w:hyperlink r:id="rId8" w:history="1">
        <w:r>
          <w:t>Úvod</w:t>
        </w:r>
        <w:r>
          <w:tab/>
          <w:t>3</w:t>
        </w:r>
      </w:hyperlink>
    </w:p>
    <w:p w:rsidR="00760243" w:rsidRDefault="00760243" w:rsidP="00760243">
      <w:pPr>
        <w:pStyle w:val="Contents1"/>
        <w:tabs>
          <w:tab w:val="right" w:pos="9638"/>
        </w:tabs>
      </w:pPr>
      <w:hyperlink r:id="rId9" w:history="1">
        <w:r>
          <w:t xml:space="preserve"> 1  Kvantitatívna analýza</w:t>
        </w:r>
        <w:r>
          <w:tab/>
          <w:t>4</w:t>
        </w:r>
      </w:hyperlink>
    </w:p>
    <w:p w:rsidR="00760243" w:rsidRDefault="00760243" w:rsidP="00760243">
      <w:pPr>
        <w:pStyle w:val="Contents2"/>
        <w:tabs>
          <w:tab w:val="right" w:pos="9638"/>
        </w:tabs>
      </w:pPr>
      <w:hyperlink r:id="rId10" w:history="1">
        <w:r>
          <w:t xml:space="preserve"> 1.1  Počet zverejnených datasetov</w:t>
        </w:r>
        <w:r>
          <w:tab/>
          <w:t>5</w:t>
        </w:r>
      </w:hyperlink>
    </w:p>
    <w:p w:rsidR="00760243" w:rsidRDefault="00760243" w:rsidP="00760243">
      <w:pPr>
        <w:pStyle w:val="Contents2"/>
        <w:tabs>
          <w:tab w:val="right" w:pos="9638"/>
        </w:tabs>
      </w:pPr>
      <w:hyperlink r:id="rId11" w:history="1">
        <w:r>
          <w:t xml:space="preserve"> 1.2  Tagy (kľúčové slová)</w:t>
        </w:r>
        <w:r>
          <w:tab/>
          <w:t>6</w:t>
        </w:r>
      </w:hyperlink>
    </w:p>
    <w:p w:rsidR="00760243" w:rsidRDefault="00760243" w:rsidP="00760243">
      <w:pPr>
        <w:pStyle w:val="Contents2"/>
        <w:tabs>
          <w:tab w:val="right" w:pos="9638"/>
        </w:tabs>
      </w:pPr>
      <w:hyperlink r:id="rId12" w:history="1">
        <w:r>
          <w:t xml:space="preserve"> 1.3  Licencie datasetov</w:t>
        </w:r>
        <w:r>
          <w:tab/>
          <w:t>7</w:t>
        </w:r>
      </w:hyperlink>
    </w:p>
    <w:p w:rsidR="00760243" w:rsidRDefault="00760243" w:rsidP="00760243">
      <w:pPr>
        <w:pStyle w:val="Contents2"/>
        <w:tabs>
          <w:tab w:val="right" w:pos="9638"/>
        </w:tabs>
      </w:pPr>
      <w:hyperlink r:id="rId13" w:history="1">
        <w:r>
          <w:t xml:space="preserve"> 1.4  Formáty datasetov</w:t>
        </w:r>
        <w:r>
          <w:tab/>
          <w:t>7</w:t>
        </w:r>
      </w:hyperlink>
    </w:p>
    <w:p w:rsidR="00760243" w:rsidRDefault="00760243" w:rsidP="00760243">
      <w:pPr>
        <w:pStyle w:val="Contents2"/>
        <w:tabs>
          <w:tab w:val="right" w:pos="9638"/>
        </w:tabs>
      </w:pPr>
      <w:hyperlink r:id="rId14" w:history="1">
        <w:r>
          <w:t xml:space="preserve"> 1.5  Aktualizácia datasetu</w:t>
        </w:r>
        <w:r>
          <w:tab/>
          <w:t>8</w:t>
        </w:r>
      </w:hyperlink>
    </w:p>
    <w:p w:rsidR="00760243" w:rsidRDefault="00760243" w:rsidP="00760243">
      <w:pPr>
        <w:pStyle w:val="Contents2"/>
        <w:tabs>
          <w:tab w:val="right" w:pos="9638"/>
        </w:tabs>
      </w:pPr>
      <w:hyperlink r:id="rId15" w:history="1">
        <w:r>
          <w:t xml:space="preserve"> 1.6  Aktuálnosť datasetu</w:t>
        </w:r>
        <w:r>
          <w:tab/>
          <w:t>9</w:t>
        </w:r>
      </w:hyperlink>
    </w:p>
    <w:p w:rsidR="00760243" w:rsidRDefault="00760243" w:rsidP="00760243">
      <w:pPr>
        <w:pStyle w:val="Contents2"/>
        <w:tabs>
          <w:tab w:val="right" w:pos="9638"/>
        </w:tabs>
      </w:pPr>
      <w:hyperlink r:id="rId16" w:history="1">
        <w:r>
          <w:t xml:space="preserve"> 1.7  Veľkosť datasetu</w:t>
        </w:r>
        <w:r>
          <w:tab/>
          <w:t>9</w:t>
        </w:r>
      </w:hyperlink>
    </w:p>
    <w:p w:rsidR="00760243" w:rsidRDefault="00760243" w:rsidP="00760243">
      <w:pPr>
        <w:pStyle w:val="Contents2"/>
        <w:tabs>
          <w:tab w:val="right" w:pos="9638"/>
        </w:tabs>
      </w:pPr>
      <w:hyperlink r:id="rId17" w:history="1">
        <w:r>
          <w:t xml:space="preserve"> 1.8  Používatelia datasetov</w:t>
        </w:r>
        <w:r>
          <w:tab/>
          <w:t>10</w:t>
        </w:r>
      </w:hyperlink>
    </w:p>
    <w:p w:rsidR="00760243" w:rsidRDefault="00760243" w:rsidP="00760243">
      <w:pPr>
        <w:pStyle w:val="Contents1"/>
        <w:tabs>
          <w:tab w:val="right" w:pos="9638"/>
        </w:tabs>
      </w:pPr>
      <w:hyperlink r:id="rId18" w:history="1">
        <w:r>
          <w:t xml:space="preserve"> 2  Kvalitatívna analýza</w:t>
        </w:r>
        <w:r>
          <w:tab/>
          <w:t>11</w:t>
        </w:r>
      </w:hyperlink>
    </w:p>
    <w:p w:rsidR="00760243" w:rsidRDefault="00760243" w:rsidP="00760243">
      <w:pPr>
        <w:pStyle w:val="Contents2"/>
        <w:tabs>
          <w:tab w:val="right" w:pos="9638"/>
        </w:tabs>
      </w:pPr>
      <w:hyperlink r:id="rId19" w:history="1">
        <w:r>
          <w:t xml:space="preserve"> 2.1  Hodnotenie datasetov</w:t>
        </w:r>
        <w:r>
          <w:tab/>
          <w:t>11</w:t>
        </w:r>
      </w:hyperlink>
    </w:p>
    <w:p w:rsidR="00760243" w:rsidRDefault="00760243" w:rsidP="00760243">
      <w:pPr>
        <w:pStyle w:val="Contents2"/>
        <w:tabs>
          <w:tab w:val="right" w:pos="9638"/>
        </w:tabs>
      </w:pPr>
      <w:hyperlink r:id="rId20" w:history="1">
        <w:r>
          <w:t xml:space="preserve"> 2.2  Global open data index</w:t>
        </w:r>
        <w:r>
          <w:tab/>
          <w:t>13</w:t>
        </w:r>
      </w:hyperlink>
    </w:p>
    <w:p w:rsidR="00760243" w:rsidRDefault="00760243" w:rsidP="00760243">
      <w:pPr>
        <w:pStyle w:val="Contents2"/>
        <w:tabs>
          <w:tab w:val="right" w:pos="9638"/>
        </w:tabs>
      </w:pPr>
      <w:hyperlink r:id="rId21" w:history="1">
        <w:r>
          <w:t xml:space="preserve"> 2.3  Open data barometer</w:t>
        </w:r>
        <w:r>
          <w:tab/>
          <w:t>13</w:t>
        </w:r>
      </w:hyperlink>
    </w:p>
    <w:p w:rsidR="00760243" w:rsidRDefault="00760243" w:rsidP="00760243">
      <w:pPr>
        <w:pStyle w:val="Contents2"/>
        <w:tabs>
          <w:tab w:val="right" w:pos="9638"/>
        </w:tabs>
      </w:pPr>
      <w:hyperlink r:id="rId22" w:history="1">
        <w:r>
          <w:t xml:space="preserve"> 2.4  Open data maturity index</w:t>
        </w:r>
        <w:r>
          <w:tab/>
          <w:t>13</w:t>
        </w:r>
      </w:hyperlink>
    </w:p>
    <w:p w:rsidR="00760243" w:rsidRDefault="00760243" w:rsidP="00760243">
      <w:pPr>
        <w:pStyle w:val="Contents2"/>
        <w:tabs>
          <w:tab w:val="right" w:pos="9638"/>
        </w:tabs>
      </w:pPr>
      <w:hyperlink r:id="rId23" w:history="1">
        <w:r>
          <w:t xml:space="preserve"> 2.5  Nástroje</w:t>
        </w:r>
        <w:r>
          <w:tab/>
          <w:t>14</w:t>
        </w:r>
      </w:hyperlink>
    </w:p>
    <w:p w:rsidR="00760243" w:rsidRDefault="00760243" w:rsidP="00760243">
      <w:pPr>
        <w:pStyle w:val="Contents2"/>
        <w:tabs>
          <w:tab w:val="right" w:pos="9638"/>
        </w:tabs>
      </w:pPr>
      <w:hyperlink r:id="rId24" w:history="1">
        <w:r>
          <w:t xml:space="preserve"> 2.6  Aplikácie</w:t>
        </w:r>
        <w:r>
          <w:tab/>
          <w:t>14</w:t>
        </w:r>
      </w:hyperlink>
    </w:p>
    <w:p w:rsidR="00760243" w:rsidRDefault="00760243" w:rsidP="00760243">
      <w:pPr>
        <w:pStyle w:val="Contents2"/>
        <w:tabs>
          <w:tab w:val="right" w:pos="9638"/>
        </w:tabs>
      </w:pPr>
      <w:hyperlink r:id="rId25" w:history="1">
        <w:r>
          <w:t xml:space="preserve"> 2.7  Užitočnosť datasetu</w:t>
        </w:r>
        <w:r>
          <w:tab/>
          <w:t>14</w:t>
        </w:r>
      </w:hyperlink>
    </w:p>
    <w:p w:rsidR="00760243" w:rsidRDefault="00760243" w:rsidP="00760243">
      <w:pPr>
        <w:pStyle w:val="Contents1"/>
        <w:tabs>
          <w:tab w:val="right" w:pos="9638"/>
        </w:tabs>
      </w:pPr>
      <w:hyperlink r:id="rId26" w:history="1">
        <w:r>
          <w:t>Záver</w:t>
        </w:r>
        <w:r>
          <w:tab/>
          <w:t>16</w:t>
        </w:r>
      </w:hyperlink>
    </w:p>
    <w:p w:rsidR="00760243" w:rsidRDefault="00760243" w:rsidP="00760243">
      <w:pPr>
        <w:pStyle w:val="Standard"/>
      </w:pPr>
      <w:r>
        <w:fldChar w:fldCharType="end"/>
      </w:r>
    </w:p>
    <w:p w:rsidR="00760243" w:rsidRDefault="00760243" w:rsidP="00760243">
      <w:pPr>
        <w:pStyle w:val="Nadpis1"/>
        <w:pageBreakBefore/>
        <w:numPr>
          <w:ilvl w:val="0"/>
          <w:numId w:val="0"/>
        </w:numPr>
      </w:pPr>
      <w:bookmarkStart w:id="0" w:name="__RefHeading___Toc131_1655535301"/>
      <w:r>
        <w:lastRenderedPageBreak/>
        <w:t>Úvod</w:t>
      </w:r>
      <w:bookmarkEnd w:id="0"/>
    </w:p>
    <w:p w:rsidR="00760243" w:rsidRDefault="00760243" w:rsidP="00760243">
      <w:pPr>
        <w:pStyle w:val="Textbody"/>
      </w:pPr>
      <w:r>
        <w:t xml:space="preserve">Slovenská republika sa v roku 2011 zapojila do medzinárodnej </w:t>
      </w:r>
      <w:r>
        <w:rPr>
          <w:b/>
          <w:bCs/>
          <w:i/>
          <w:iCs/>
        </w:rPr>
        <w:t>Iniciatívy pre otvorené vládnutie</w:t>
      </w:r>
      <w:r>
        <w:t xml:space="preserve">. </w:t>
      </w:r>
      <w:r>
        <w:rPr>
          <w:i/>
          <w:iCs/>
        </w:rPr>
        <w:t>Úrad splnomocnenca vlády SR pre rozvoj občianskej spoločnosti</w:t>
      </w:r>
      <w:r>
        <w:t xml:space="preserve"> zastrešuje túto iniciatívu krátkodobými akčnými plánmi. V tomto období aktuálny </w:t>
      </w:r>
      <w:r>
        <w:rPr>
          <w:b/>
          <w:bCs/>
          <w:i/>
          <w:iCs/>
        </w:rPr>
        <w:t>Akčný plán Iniciatívy pre otvorené vládnutie v Slovenskej republike na roky 2017 – 2019</w:t>
      </w:r>
      <w:r>
        <w:t xml:space="preserve">, schválený Uznesením vlády SR č. 104/2017, v kapitole </w:t>
      </w:r>
      <w:r>
        <w:rPr>
          <w:i/>
          <w:iCs/>
        </w:rPr>
        <w:t>1.1 Portál otvorených dát – data.gov.sk</w:t>
      </w:r>
      <w:r>
        <w:t xml:space="preserve"> obsahuje úlohu č. 10:</w:t>
      </w:r>
    </w:p>
    <w:p w:rsidR="00760243" w:rsidRDefault="00760243" w:rsidP="00760243">
      <w:pPr>
        <w:pStyle w:val="Textbody"/>
        <w:ind w:left="567" w:right="567" w:firstLine="0"/>
        <w:rPr>
          <w:i/>
          <w:iCs/>
        </w:rPr>
      </w:pPr>
      <w:r>
        <w:rPr>
          <w:i/>
          <w:iCs/>
        </w:rPr>
        <w:t xml:space="preserve">Vypracovať analýzu zverejňovania </w:t>
      </w:r>
      <w:proofErr w:type="spellStart"/>
      <w:r>
        <w:rPr>
          <w:i/>
          <w:iCs/>
        </w:rPr>
        <w:t>datasetov</w:t>
      </w:r>
      <w:proofErr w:type="spellEnd"/>
      <w:r>
        <w:rPr>
          <w:i/>
          <w:iCs/>
        </w:rPr>
        <w:t xml:space="preserve"> ústredných orgánov štátnej správy na portáli otvorených dát a predložiť ju na zasadnutie Rady vlády SR pre mimovládne neziskové organizácie. Zodpovedný: splnomocnenec vlády SR pre rozvoj občianskej spoločnosti. Termín: každoročne do 30. júna.</w:t>
      </w:r>
    </w:p>
    <w:p w:rsidR="00760243" w:rsidRDefault="00760243" w:rsidP="00760243">
      <w:pPr>
        <w:pStyle w:val="Textbody"/>
        <w:ind w:firstLine="0"/>
      </w:pPr>
      <w:r>
        <w:t xml:space="preserve">Cieľom zverejňovania otvorených dát verejnej správy je zvyšovanie transparentnosti a podpora hospodárstva založeného na dátach. Ústredné orgány štátnej správy zhromažďujú a spravujú veľké množstvo dát, ktoré je možné sprístupniť (okrem dát, kde existujú zákonné prekážky), a to s verejnou licenciou a v strojovo spracovateľných formátoch. Ku každému zverejnenému </w:t>
      </w:r>
      <w:proofErr w:type="spellStart"/>
      <w:r>
        <w:t>datasetu</w:t>
      </w:r>
      <w:proofErr w:type="spellEnd"/>
      <w:r>
        <w:t xml:space="preserve"> majú byť pripojené metadáta, ktoré opisujú obsah a štruktúru </w:t>
      </w:r>
      <w:proofErr w:type="spellStart"/>
      <w:r>
        <w:t>datasetu</w:t>
      </w:r>
      <w:proofErr w:type="spellEnd"/>
      <w:r>
        <w:t xml:space="preserve">. Špeciálnym </w:t>
      </w:r>
      <w:proofErr w:type="spellStart"/>
      <w:r>
        <w:t>datasetom</w:t>
      </w:r>
      <w:proofErr w:type="spellEnd"/>
      <w:r>
        <w:t xml:space="preserve"> je zoznam zverejnených </w:t>
      </w:r>
      <w:proofErr w:type="spellStart"/>
      <w:r>
        <w:t>datasetov</w:t>
      </w:r>
      <w:proofErr w:type="spellEnd"/>
      <w:r>
        <w:t>.</w:t>
      </w:r>
    </w:p>
    <w:p w:rsidR="00760243" w:rsidRDefault="00760243" w:rsidP="00760243">
      <w:pPr>
        <w:pStyle w:val="Textbody"/>
      </w:pPr>
      <w:r>
        <w:t xml:space="preserve">Predchádzajúce analýzy zverejňovania </w:t>
      </w:r>
      <w:proofErr w:type="spellStart"/>
      <w:r>
        <w:t>datasetov</w:t>
      </w:r>
      <w:proofErr w:type="spellEnd"/>
      <w:r>
        <w:t xml:space="preserve"> ústredných orgánov štátnej správy na portáli otvorených dát boli realizované za roky 2017, 2018. Táto analýza mapuje zverejnené </w:t>
      </w:r>
      <w:proofErr w:type="spellStart"/>
      <w:r>
        <w:t>datasety</w:t>
      </w:r>
      <w:proofErr w:type="spellEnd"/>
      <w:r>
        <w:t xml:space="preserve"> ústredných orgánov štátnej správy na portáli otvorených dát (data.gov.sk), posudzuje zmapované </w:t>
      </w:r>
      <w:proofErr w:type="spellStart"/>
      <w:r>
        <w:t>datasety</w:t>
      </w:r>
      <w:proofErr w:type="spellEnd"/>
      <w:r>
        <w:t xml:space="preserve"> z kvantitatívneho aj kvalitatívneho hľadiska, porovnáva vývoj zverejňovania </w:t>
      </w:r>
      <w:proofErr w:type="spellStart"/>
      <w:r>
        <w:t>datasetov</w:t>
      </w:r>
      <w:proofErr w:type="spellEnd"/>
      <w:r>
        <w:t xml:space="preserve"> v čase. Táto analýza neskúma zverejnené </w:t>
      </w:r>
      <w:proofErr w:type="spellStart"/>
      <w:r>
        <w:t>datasety</w:t>
      </w:r>
      <w:proofErr w:type="spellEnd"/>
      <w:r>
        <w:t xml:space="preserve"> verejnej správy mimo ústredných orgánov štátnej správy, ani zverejnené </w:t>
      </w:r>
      <w:proofErr w:type="spellStart"/>
      <w:r>
        <w:t>datasety</w:t>
      </w:r>
      <w:proofErr w:type="spellEnd"/>
      <w:r>
        <w:t xml:space="preserve"> územnej samosprávy.</w:t>
      </w:r>
    </w:p>
    <w:p w:rsidR="00760243" w:rsidRDefault="00760243" w:rsidP="00760243">
      <w:pPr>
        <w:pStyle w:val="Textbody"/>
      </w:pPr>
      <w:r>
        <w:rPr>
          <w:noProof/>
          <w:lang w:eastAsia="sk-SK" w:bidi="ar-SA"/>
        </w:rPr>
        <mc:AlternateContent>
          <mc:Choice Requires="wps">
            <w:drawing>
              <wp:anchor distT="0" distB="0" distL="114300" distR="114300" simplePos="0" relativeHeight="251660288" behindDoc="0" locked="0" layoutInCell="1" allowOverlap="1" wp14:anchorId="7BA9C468" wp14:editId="3AE0BD9F">
                <wp:simplePos x="0" y="0"/>
                <wp:positionH relativeFrom="column">
                  <wp:align>center</wp:align>
                </wp:positionH>
                <wp:positionV relativeFrom="paragraph">
                  <wp:align>top</wp:align>
                </wp:positionV>
                <wp:extent cx="6120000" cy="1647720"/>
                <wp:effectExtent l="0" t="0" r="0" b="0"/>
                <wp:wrapSquare wrapText="bothSides"/>
                <wp:docPr id="5" name="Rámec1"/>
                <wp:cNvGraphicFramePr/>
                <a:graphic xmlns:a="http://schemas.openxmlformats.org/drawingml/2006/main">
                  <a:graphicData uri="http://schemas.microsoft.com/office/word/2010/wordprocessingShape">
                    <wps:wsp>
                      <wps:cNvSpPr txBox="1"/>
                      <wps:spPr>
                        <a:xfrm>
                          <a:off x="0" y="0"/>
                          <a:ext cx="6120000" cy="1647720"/>
                        </a:xfrm>
                        <a:prstGeom prst="rect">
                          <a:avLst/>
                        </a:prstGeom>
                        <a:ln>
                          <a:noFill/>
                          <a:prstDash/>
                        </a:ln>
                      </wps:spPr>
                      <wps:txbx>
                        <w:txbxContent>
                          <w:p w:rsidR="00760243" w:rsidRDefault="00760243" w:rsidP="00760243">
                            <w:pPr>
                              <w:pStyle w:val="Figure"/>
                            </w:pPr>
                            <w:r>
                              <w:rPr>
                                <w:noProof/>
                                <w:lang w:eastAsia="sk-SK" w:bidi="ar-SA"/>
                              </w:rPr>
                              <w:drawing>
                                <wp:inline distT="0" distB="0" distL="0" distR="0" wp14:anchorId="1CDB685E" wp14:editId="283FA602">
                                  <wp:extent cx="6120000" cy="1647720"/>
                                  <wp:effectExtent l="0" t="0" r="0" b="0"/>
                                  <wp:docPr id="4" name="Obrázo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6120000" cy="1647720"/>
                                          </a:xfrm>
                                          <a:prstGeom prst="rect">
                                            <a:avLst/>
                                          </a:prstGeom>
                                          <a:solidFill>
                                            <a:srgbClr val="813709"/>
                                          </a:solidFill>
                                          <a:ln>
                                            <a:noFill/>
                                            <a:prstDash/>
                                          </a:ln>
                                        </pic:spPr>
                                      </pic:pic>
                                    </a:graphicData>
                                  </a:graphic>
                                </wp:inline>
                              </w:drawing>
                            </w:r>
                            <w:r>
                              <w:rPr>
                                <w:vanish/>
                              </w:rPr>
                              <w:br/>
                            </w:r>
                            <w:r>
                              <w:t xml:space="preserve">Obrázok 1: </w:t>
                            </w:r>
                            <w:hyperlink r:id="rId28" w:history="1">
                              <w:r>
                                <w:t>https://data.gov.sk</w:t>
                              </w:r>
                            </w:hyperlink>
                          </w:p>
                        </w:txbxContent>
                      </wps:txbx>
                      <wps:bodyPr wrap="none" lIns="0" tIns="0" rIns="0" bIns="0" compatLnSpc="0">
                        <a:spAutoFit/>
                      </wps:bodyPr>
                    </wps:wsp>
                  </a:graphicData>
                </a:graphic>
              </wp:anchor>
            </w:drawing>
          </mc:Choice>
          <mc:Fallback>
            <w:pict>
              <v:shapetype w14:anchorId="7BA9C468" id="_x0000_t202" coordsize="21600,21600" o:spt="202" path="m,l,21600r21600,l21600,xe">
                <v:stroke joinstyle="miter"/>
                <v:path gradientshapeok="t" o:connecttype="rect"/>
              </v:shapetype>
              <v:shape id="Rámec1" o:spid="_x0000_s1026" type="#_x0000_t202" style="position:absolute;left:0;text-align:left;margin-left:0;margin-top:0;width:481.9pt;height:129.75pt;z-index:251660288;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" filled="f" stroked="f">
                <v:textbox style="mso-fit-shape-to-text:t" inset="0,0,0,0">
                  <w:txbxContent>
                    <w:p w:rsidR="00760243" w:rsidRDefault="00760243" w:rsidP="00760243">
                      <w:pPr>
                        <w:pStyle w:val="Figure"/>
                      </w:pPr>
                      <w:r>
                        <w:rPr>
                          <w:noProof/>
                          <w:lang w:eastAsia="sk-SK" w:bidi="ar-SA"/>
                        </w:rPr>
                        <w:drawing>
                          <wp:inline distT="0" distB="0" distL="0" distR="0" wp14:anchorId="1CDB685E" wp14:editId="283FA602">
                            <wp:extent cx="6120000" cy="1647720"/>
                            <wp:effectExtent l="0" t="0" r="0" b="0"/>
                            <wp:docPr id="4" name="Obrázo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6120000" cy="1647720"/>
                                    </a:xfrm>
                                    <a:prstGeom prst="rect">
                                      <a:avLst/>
                                    </a:prstGeom>
                                    <a:solidFill>
                                      <a:srgbClr val="813709"/>
                                    </a:solidFill>
                                    <a:ln>
                                      <a:noFill/>
                                      <a:prstDash/>
                                    </a:ln>
                                  </pic:spPr>
                                </pic:pic>
                              </a:graphicData>
                            </a:graphic>
                          </wp:inline>
                        </w:drawing>
                      </w:r>
                      <w:r>
                        <w:rPr>
                          <w:vanish/>
                        </w:rPr>
                        <w:br/>
                      </w:r>
                      <w:r>
                        <w:t xml:space="preserve">Obrázok 1: </w:t>
                      </w:r>
                      <w:hyperlink r:id="rId29" w:history="1">
                        <w:r>
                          <w:t>https://data.gov.sk</w:t>
                        </w:r>
                      </w:hyperlink>
                    </w:p>
                  </w:txbxContent>
                </v:textbox>
                <w10:wrap type="square"/>
              </v:shape>
            </w:pict>
          </mc:Fallback>
        </mc:AlternateContent>
      </w:r>
      <w:r>
        <w:t xml:space="preserve">Správcom portálu </w:t>
      </w:r>
      <w:hyperlink r:id="rId30" w:history="1">
        <w:r>
          <w:t>https://</w:t>
        </w:r>
      </w:hyperlink>
      <w:hyperlink r:id="rId31" w:history="1">
        <w:r>
          <w:t>data.gov.sk</w:t>
        </w:r>
      </w:hyperlink>
      <w:r>
        <w:t xml:space="preserve"> je </w:t>
      </w:r>
      <w:r>
        <w:rPr>
          <w:i/>
          <w:iCs/>
        </w:rPr>
        <w:t>Národná agentúra pre sieťové a elektronické služby</w:t>
      </w:r>
      <w:r>
        <w:t xml:space="preserve"> (NASES), ktorá patrí pod </w:t>
      </w:r>
      <w:r>
        <w:rPr>
          <w:i/>
          <w:iCs/>
        </w:rPr>
        <w:t>Úrad podpredsedu vlády SR pre investície a informatizáciu</w:t>
      </w:r>
      <w:r>
        <w:t xml:space="preserve"> (ÚPVII), ktorý je v postavení ústredného orgánu štátnej správy tvorcom politiky v oblasti informatizácie verejnej správy a správy informačných technológií verejnej správy.</w:t>
      </w:r>
    </w:p>
    <w:p w:rsidR="00760243" w:rsidRDefault="00760243" w:rsidP="00760243">
      <w:pPr>
        <w:pStyle w:val="Textbody"/>
      </w:pPr>
      <w:r>
        <w:t xml:space="preserve">Portál data.gov.sk </w:t>
      </w:r>
      <w:proofErr w:type="spellStart"/>
      <w:r>
        <w:t>pokytuje</w:t>
      </w:r>
      <w:proofErr w:type="spellEnd"/>
      <w:r>
        <w:t xml:space="preserve"> okrem zverejnených </w:t>
      </w:r>
      <w:proofErr w:type="spellStart"/>
      <w:r>
        <w:t>datasetov</w:t>
      </w:r>
      <w:proofErr w:type="spellEnd"/>
      <w:r>
        <w:t xml:space="preserve"> aj vyhľadávanie a filtrovanie </w:t>
      </w:r>
      <w:proofErr w:type="spellStart"/>
      <w:r>
        <w:t>datasetov</w:t>
      </w:r>
      <w:proofErr w:type="spellEnd"/>
      <w:r>
        <w:t xml:space="preserve"> podľa rôznych kritérií, návody a iné súvisiace informácie.</w:t>
      </w:r>
    </w:p>
    <w:p w:rsidR="00760243" w:rsidRDefault="00760243" w:rsidP="00760243">
      <w:pPr>
        <w:pStyle w:val="Nadpis1"/>
      </w:pPr>
      <w:bookmarkStart w:id="1" w:name="__RefHeading___Toc25607_1655535301"/>
      <w:r>
        <w:lastRenderedPageBreak/>
        <w:t>Kvantitatívna analýza</w:t>
      </w:r>
      <w:bookmarkEnd w:id="1"/>
    </w:p>
    <w:p w:rsidR="00760243" w:rsidRDefault="00760243" w:rsidP="00760243">
      <w:pPr>
        <w:pStyle w:val="Textbody"/>
      </w:pPr>
      <w:r>
        <w:t>V tejto kapitole s</w:t>
      </w:r>
      <w:r>
        <w:rPr>
          <w:b/>
          <w:bCs/>
        </w:rPr>
        <w:t xml:space="preserve">umarizujeme počty </w:t>
      </w:r>
      <w:proofErr w:type="spellStart"/>
      <w:r>
        <w:rPr>
          <w:b/>
          <w:bCs/>
        </w:rPr>
        <w:t>datasetov</w:t>
      </w:r>
      <w:proofErr w:type="spellEnd"/>
      <w:r>
        <w:rPr>
          <w:b/>
          <w:bCs/>
        </w:rPr>
        <w:t xml:space="preserve"> podľa viacerých kritérií</w:t>
      </w:r>
      <w:r>
        <w:t xml:space="preserve"> a porovnávame podľa rokov zverejnenia.</w:t>
      </w:r>
    </w:p>
    <w:p w:rsidR="00760243" w:rsidRDefault="00760243" w:rsidP="00760243">
      <w:pPr>
        <w:pStyle w:val="Textbody"/>
      </w:pPr>
      <w:r>
        <w:t xml:space="preserve">Je možné zistiť rozdielne </w:t>
      </w:r>
      <w:r>
        <w:rPr>
          <w:b/>
          <w:bCs/>
        </w:rPr>
        <w:t xml:space="preserve">absolútne počty </w:t>
      </w:r>
      <w:proofErr w:type="spellStart"/>
      <w:r>
        <w:rPr>
          <w:b/>
          <w:bCs/>
        </w:rPr>
        <w:t>datasetov</w:t>
      </w:r>
      <w:proofErr w:type="spellEnd"/>
      <w:r>
        <w:t xml:space="preserve"> pre dané prípady </w:t>
      </w:r>
      <w:r>
        <w:rPr>
          <w:b/>
          <w:bCs/>
        </w:rPr>
        <w:t>v závislosti od vyhľadávacieho kritéria a zvolenej metodiky</w:t>
      </w:r>
      <w:r>
        <w:t xml:space="preserve">. Na portáli otvorených dát sa nachádzajú viaceré </w:t>
      </w:r>
      <w:proofErr w:type="spellStart"/>
      <w:r>
        <w:t>datasety</w:t>
      </w:r>
      <w:proofErr w:type="spellEnd"/>
      <w:r>
        <w:t xml:space="preserve"> s rovnakým názvom od rovnakej organizácie, líšia sa v zdrojových dátach (napr. obsahujú rôzne kategórie dát alebo obsahujú dáta z rôznych období). Niektoré </w:t>
      </w:r>
      <w:proofErr w:type="spellStart"/>
      <w:r>
        <w:t>datasety</w:t>
      </w:r>
      <w:proofErr w:type="spellEnd"/>
      <w:r>
        <w:t xml:space="preserve"> sú zverejnené vo viacerých formátoch. Kvôli zjednodušeniu považujeme </w:t>
      </w:r>
      <w:proofErr w:type="spellStart"/>
      <w:r>
        <w:t>dataset</w:t>
      </w:r>
      <w:proofErr w:type="spellEnd"/>
      <w:r>
        <w:t xml:space="preserve"> s daným názvom a od danej organizácie za jeden, bez ohľadu na zdrojové dáta, obdobia, formát </w:t>
      </w:r>
      <w:proofErr w:type="spellStart"/>
      <w:r>
        <w:t>datasetu</w:t>
      </w:r>
      <w:proofErr w:type="spellEnd"/>
      <w:r>
        <w:t xml:space="preserve">. Metodika predchádzajúcich analýz sa však môže líšiť, preto absolútne počty </w:t>
      </w:r>
      <w:proofErr w:type="spellStart"/>
      <w:r>
        <w:t>datasetov</w:t>
      </w:r>
      <w:proofErr w:type="spellEnd"/>
      <w:r>
        <w:t xml:space="preserve"> sú skôr orientačné. Dáta v tabuľke 1 boli zisťované k dátumom: 27.08.2013, 08.03.2015, 31.03.2017, 30.06.2018, 25.06.2019. Priamo portál data.gov.sk v záložke Štatistiky uvádza sumárny počet </w:t>
      </w:r>
      <w:proofErr w:type="spellStart"/>
      <w:r>
        <w:t>datasetov</w:t>
      </w:r>
      <w:proofErr w:type="spellEnd"/>
      <w:r>
        <w:t xml:space="preserve"> podľa organizácií – tieto počty uvádzame v tabuľke za rok 2019</w:t>
      </w:r>
      <w:r>
        <w:rPr>
          <w:rStyle w:val="Odkaznapoznmkupodiarou"/>
        </w:rPr>
        <w:footnoteReference w:id="1"/>
      </w:r>
      <w:r>
        <w:t>.</w:t>
      </w:r>
    </w:p>
    <w:p w:rsidR="00760243" w:rsidRDefault="00760243" w:rsidP="00760243">
      <w:pPr>
        <w:pStyle w:val="Textbody"/>
      </w:pPr>
      <w:r>
        <w:t xml:space="preserve">Táto analýza neskúma zverejnené </w:t>
      </w:r>
      <w:proofErr w:type="spellStart"/>
      <w:r>
        <w:t>datasety</w:t>
      </w:r>
      <w:proofErr w:type="spellEnd"/>
      <w:r>
        <w:t xml:space="preserve"> verejnej správy mimo ústredných orgánov štátnej správy, ani zverejnené </w:t>
      </w:r>
      <w:proofErr w:type="spellStart"/>
      <w:r>
        <w:t>datasety</w:t>
      </w:r>
      <w:proofErr w:type="spellEnd"/>
      <w:r>
        <w:t xml:space="preserve"> územnej samosprávy. V tabuľke uvádzame zoznam všetkých ústredných orgánov štátnej správy a kvôli úplnosti pridávame sumárne počty za ostatné organizácie verejnej správy a ostatné organizácie územnej samosprávy. V absolútnych počtoch sa môže vyskytnúť čiastková chyba, ak daná podriadená organizácia bola v jednom roku pripočítaná k príslušnému ústrednému orgánu štátnej správy (ministerstvu) a v inom roku bola pripočítaná k ostatným organizáciám verejnej správy. Súčet všetkých </w:t>
      </w:r>
      <w:proofErr w:type="spellStart"/>
      <w:r>
        <w:t>datasetov</w:t>
      </w:r>
      <w:proofErr w:type="spellEnd"/>
      <w:r>
        <w:t xml:space="preserve"> v roku sa však týmto nezmení.</w:t>
      </w:r>
    </w:p>
    <w:p w:rsidR="00760243" w:rsidRDefault="00760243" w:rsidP="00760243">
      <w:pPr>
        <w:pStyle w:val="Textbody"/>
      </w:pPr>
      <w:r>
        <w:t xml:space="preserve">Portál data.gov.sk v záložke </w:t>
      </w:r>
      <w:proofErr w:type="spellStart"/>
      <w:r>
        <w:t>Datasety</w:t>
      </w:r>
      <w:proofErr w:type="spellEnd"/>
      <w:r>
        <w:t xml:space="preserve"> zobrazuje sumárny </w:t>
      </w:r>
      <w:r>
        <w:rPr>
          <w:b/>
          <w:bCs/>
        </w:rPr>
        <w:t xml:space="preserve">počet </w:t>
      </w:r>
      <w:proofErr w:type="spellStart"/>
      <w:r>
        <w:rPr>
          <w:b/>
          <w:bCs/>
        </w:rPr>
        <w:t>datasetov</w:t>
      </w:r>
      <w:proofErr w:type="spellEnd"/>
      <w:r>
        <w:rPr>
          <w:b/>
          <w:bCs/>
        </w:rPr>
        <w:t xml:space="preserve"> podľa </w:t>
      </w:r>
      <w:proofErr w:type="spellStart"/>
      <w:r>
        <w:rPr>
          <w:b/>
          <w:bCs/>
        </w:rPr>
        <w:t>tagu</w:t>
      </w:r>
      <w:proofErr w:type="spellEnd"/>
      <w:r>
        <w:rPr>
          <w:b/>
          <w:bCs/>
        </w:rPr>
        <w:t xml:space="preserve"> (kľúčového slova)</w:t>
      </w:r>
      <w:r>
        <w:t xml:space="preserve"> pre ľahšie vyhľadávanie. Tieto počty v prepočte na percentá uvádzame vo forme grafu. Celkový počet </w:t>
      </w:r>
      <w:proofErr w:type="spellStart"/>
      <w:r>
        <w:t>datasetov</w:t>
      </w:r>
      <w:proofErr w:type="spellEnd"/>
      <w:r>
        <w:t xml:space="preserve"> zistený podľa </w:t>
      </w:r>
      <w:proofErr w:type="spellStart"/>
      <w:r>
        <w:t>tagu</w:t>
      </w:r>
      <w:proofErr w:type="spellEnd"/>
      <w:r>
        <w:t xml:space="preserve"> sa líši od celkového počtu </w:t>
      </w:r>
      <w:proofErr w:type="spellStart"/>
      <w:r>
        <w:t>datasetov</w:t>
      </w:r>
      <w:proofErr w:type="spellEnd"/>
      <w:r>
        <w:t xml:space="preserve">, zisteného podľa organizácie, pretože daný </w:t>
      </w:r>
      <w:proofErr w:type="spellStart"/>
      <w:r>
        <w:t>dataset</w:t>
      </w:r>
      <w:proofErr w:type="spellEnd"/>
      <w:r>
        <w:t xml:space="preserve"> môže mať priradených aj viac </w:t>
      </w:r>
      <w:proofErr w:type="spellStart"/>
      <w:r>
        <w:t>tagov</w:t>
      </w:r>
      <w:proofErr w:type="spellEnd"/>
      <w:r>
        <w:t>.</w:t>
      </w:r>
    </w:p>
    <w:p w:rsidR="00760243" w:rsidRDefault="00760243" w:rsidP="00760243">
      <w:pPr>
        <w:pStyle w:val="Textbody"/>
      </w:pPr>
      <w:r>
        <w:t xml:space="preserve">Portál data.gov.sk v záložke Štatistiky poskytuje sumárny </w:t>
      </w:r>
      <w:r>
        <w:rPr>
          <w:b/>
          <w:bCs/>
        </w:rPr>
        <w:t xml:space="preserve">počet </w:t>
      </w:r>
      <w:proofErr w:type="spellStart"/>
      <w:r>
        <w:rPr>
          <w:b/>
          <w:bCs/>
        </w:rPr>
        <w:t>datasetov</w:t>
      </w:r>
      <w:proofErr w:type="spellEnd"/>
      <w:r>
        <w:rPr>
          <w:b/>
          <w:bCs/>
        </w:rPr>
        <w:t xml:space="preserve"> podľa typu licencie</w:t>
      </w:r>
      <w:r>
        <w:t xml:space="preserve">. Tieto počty po prepočte na percentá uvádzame vo forme grafu. Celkový počet </w:t>
      </w:r>
      <w:proofErr w:type="spellStart"/>
      <w:r>
        <w:t>datasetov</w:t>
      </w:r>
      <w:proofErr w:type="spellEnd"/>
      <w:r>
        <w:t xml:space="preserve"> zistený pri licenciách sa však nezhoduje s celkovým počtom licencií zisteným podľa organizácií. Napriek tomu, že portál data.gov.sk plní funkciu portálu otvorených dát, sú zverejnené aj </w:t>
      </w:r>
      <w:proofErr w:type="spellStart"/>
      <w:r>
        <w:t>datasety</w:t>
      </w:r>
      <w:proofErr w:type="spellEnd"/>
      <w:r>
        <w:t xml:space="preserve"> bez uvedenia licencie alebo s obmedzujúcou licenciou.</w:t>
      </w:r>
    </w:p>
    <w:p w:rsidR="00760243" w:rsidRDefault="00760243" w:rsidP="00760243">
      <w:pPr>
        <w:pStyle w:val="Textbody"/>
      </w:pPr>
      <w:r>
        <w:t xml:space="preserve">Portál data.gov.sk v záložke </w:t>
      </w:r>
      <w:proofErr w:type="spellStart"/>
      <w:r>
        <w:t>Datasety</w:t>
      </w:r>
      <w:proofErr w:type="spellEnd"/>
      <w:r>
        <w:t xml:space="preserve"> zobrazuje sumárny </w:t>
      </w:r>
      <w:r>
        <w:rPr>
          <w:b/>
          <w:bCs/>
        </w:rPr>
        <w:t xml:space="preserve">počet </w:t>
      </w:r>
      <w:proofErr w:type="spellStart"/>
      <w:r>
        <w:rPr>
          <w:b/>
          <w:bCs/>
        </w:rPr>
        <w:t>datasetov</w:t>
      </w:r>
      <w:proofErr w:type="spellEnd"/>
      <w:r>
        <w:rPr>
          <w:b/>
          <w:bCs/>
        </w:rPr>
        <w:t xml:space="preserve"> podľa formátu súboru</w:t>
      </w:r>
      <w:r>
        <w:t xml:space="preserve">. Tieto počty v prepočte na percentá uvádzame v grafe. Celkový počet </w:t>
      </w:r>
      <w:proofErr w:type="spellStart"/>
      <w:r>
        <w:t>datasetov</w:t>
      </w:r>
      <w:proofErr w:type="spellEnd"/>
      <w:r>
        <w:t xml:space="preserve"> zistený pri formátoch nesedí s celkovým počtom </w:t>
      </w:r>
      <w:proofErr w:type="spellStart"/>
      <w:r>
        <w:t>datasetov</w:t>
      </w:r>
      <w:proofErr w:type="spellEnd"/>
      <w:r>
        <w:t xml:space="preserve"> zisteným pri organizáciách, pretože niektoré </w:t>
      </w:r>
      <w:proofErr w:type="spellStart"/>
      <w:r>
        <w:t>datasety</w:t>
      </w:r>
      <w:proofErr w:type="spellEnd"/>
      <w:r>
        <w:t xml:space="preserve"> sú zverejnené vo viacerých formátoch alebo pre rôzne zdrojové dáta. Preto aj percentuálny podiel formátov je len orientačný. Niektoré formáty uvedené na portáli nie sú formátmi skutočných </w:t>
      </w:r>
      <w:proofErr w:type="spellStart"/>
      <w:r>
        <w:t>datasetov</w:t>
      </w:r>
      <w:proofErr w:type="spellEnd"/>
      <w:r>
        <w:t>, ale pomocnými súbormi k </w:t>
      </w:r>
      <w:proofErr w:type="spellStart"/>
      <w:r>
        <w:t>datasetom</w:t>
      </w:r>
      <w:proofErr w:type="spellEnd"/>
      <w:r>
        <w:t xml:space="preserve"> (napr. XSD ku XML). Niektoré formáty sú nesprávne alebo duplicitne pomenované. Medzi formáty sú zaradené aj hypertextové odkazy na iné sídlo mimo data.gov.sk.</w:t>
      </w:r>
    </w:p>
    <w:p w:rsidR="00760243" w:rsidRDefault="00760243" w:rsidP="00760243">
      <w:pPr>
        <w:pStyle w:val="Nadpis2"/>
      </w:pPr>
      <w:bookmarkStart w:id="2" w:name="__RefHeading___Toc142_6072258"/>
      <w:r>
        <w:lastRenderedPageBreak/>
        <w:t xml:space="preserve">Počet zverejnených </w:t>
      </w:r>
      <w:proofErr w:type="spellStart"/>
      <w:r>
        <w:t>datasetov</w:t>
      </w:r>
      <w:bookmarkEnd w:id="2"/>
      <w:proofErr w:type="spellEnd"/>
    </w:p>
    <w:p w:rsidR="00760243" w:rsidRDefault="00760243" w:rsidP="00760243">
      <w:pPr>
        <w:pStyle w:val="Textbody"/>
        <w:ind w:firstLine="0"/>
      </w:pPr>
      <w:r>
        <w:rPr>
          <w:noProof/>
          <w:lang w:eastAsia="sk-SK" w:bidi="ar-SA"/>
        </w:rPr>
        <mc:AlternateContent>
          <mc:Choice Requires="wps">
            <w:drawing>
              <wp:anchor distT="0" distB="0" distL="114300" distR="114300" simplePos="0" relativeHeight="251671552" behindDoc="0" locked="0" layoutInCell="1" allowOverlap="1" wp14:anchorId="5AD74FB5" wp14:editId="1119AF85">
                <wp:simplePos x="0" y="0"/>
                <wp:positionH relativeFrom="column">
                  <wp:align>center</wp:align>
                </wp:positionH>
                <wp:positionV relativeFrom="paragraph">
                  <wp:align>top</wp:align>
                </wp:positionV>
                <wp:extent cx="6120000" cy="7599600"/>
                <wp:effectExtent l="0" t="0" r="0" b="0"/>
                <wp:wrapSquare wrapText="bothSides"/>
                <wp:docPr id="6" name="Rámec2"/>
                <wp:cNvGraphicFramePr/>
                <a:graphic xmlns:a="http://schemas.openxmlformats.org/drawingml/2006/main">
                  <a:graphicData uri="http://schemas.microsoft.com/office/word/2010/wordprocessingShape">
                    <wps:wsp>
                      <wps:cNvSpPr txBox="1"/>
                      <wps:spPr>
                        <a:xfrm>
                          <a:off x="0" y="0"/>
                          <a:ext cx="6120000" cy="7599600"/>
                        </a:xfrm>
                        <a:prstGeom prst="rect">
                          <a:avLst/>
                        </a:prstGeom>
                        <a:ln>
                          <a:noFill/>
                          <a:prstDash/>
                        </a:ln>
                      </wps:spPr>
                      <wps:txbx>
                        <w:txbxContent>
                          <w:p w:rsidR="00760243" w:rsidRDefault="00760243" w:rsidP="00760243">
                            <w:pPr>
                              <w:pStyle w:val="Table"/>
                            </w:pPr>
                            <w:r>
                              <w:t xml:space="preserve">Tabuľka 1: Počet zverejnených </w:t>
                            </w:r>
                            <w:proofErr w:type="spellStart"/>
                            <w:r>
                              <w:t>datasetov</w:t>
                            </w:r>
                            <w:proofErr w:type="spellEnd"/>
                            <w:r>
                              <w:t xml:space="preserve"> podľa organizácií a rokov</w:t>
                            </w:r>
                            <w:r>
                              <w:rPr>
                                <w:vanish/>
                              </w:rPr>
                              <w:br/>
                            </w:r>
                            <w:r>
                              <w:rPr>
                                <w:b w:val="0"/>
                                <w:kern w:val="0"/>
                                <w:sz w:val="20"/>
                                <w:szCs w:val="20"/>
                                <w:lang w:eastAsia="sk-SK" w:bidi="ar-SA"/>
                              </w:rPr>
                              <w:object w:dxaOrig="9711" w:dyaOrig="8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5pt;height:444.55pt">
                                  <v:imagedata r:id="rId32" o:title=""/>
                                </v:shape>
                                <o:OLEObject Type="Embed" ProgID="Excel.OpenDocumentSpreadsheet.12" ShapeID="_x0000_i1025" DrawAspect="Content" ObjectID="_1623583687" r:id="rId33"/>
                              </w:object>
                            </w:r>
                          </w:p>
                        </w:txbxContent>
                      </wps:txbx>
                      <wps:bodyPr wrap="none" lIns="0" tIns="0" rIns="0" bIns="0" compatLnSpc="0">
                        <a:spAutoFit/>
                      </wps:bodyPr>
                    </wps:wsp>
                  </a:graphicData>
                </a:graphic>
              </wp:anchor>
            </w:drawing>
          </mc:Choice>
          <mc:Fallback>
            <w:pict>
              <v:shape w14:anchorId="5AD74FB5" id="Rámec2" o:spid="_x0000_s1027" type="#_x0000_t202" style="position:absolute;left:0;text-align:left;margin-left:0;margin-top:0;width:481.9pt;height:598.4pt;z-index:251671552;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" filled="f" stroked="f">
                <v:textbox style="mso-fit-shape-to-text:t" inset="0,0,0,0">
                  <w:txbxContent>
                    <w:p w:rsidR="00760243" w:rsidRDefault="00760243" w:rsidP="00760243">
                      <w:pPr>
                        <w:pStyle w:val="Table"/>
                      </w:pPr>
                      <w:r>
                        <w:t xml:space="preserve">Tabuľka 1: Počet zverejnených </w:t>
                      </w:r>
                      <w:proofErr w:type="spellStart"/>
                      <w:r>
                        <w:t>datasetov</w:t>
                      </w:r>
                      <w:proofErr w:type="spellEnd"/>
                      <w:r>
                        <w:t xml:space="preserve"> podľa organizácií a rokov</w:t>
                      </w:r>
                      <w:r>
                        <w:rPr>
                          <w:vanish/>
                        </w:rPr>
                        <w:br/>
                      </w:r>
                      <w:r>
                        <w:rPr>
                          <w:b w:val="0"/>
                          <w:kern w:val="0"/>
                          <w:sz w:val="20"/>
                          <w:szCs w:val="20"/>
                          <w:lang w:eastAsia="sk-SK" w:bidi="ar-SA"/>
                        </w:rPr>
                        <w:object w:dxaOrig="9711" w:dyaOrig="8891">
                          <v:shape id="_x0000_i1025" type="#_x0000_t75" style="width:485.55pt;height:444.55pt">
                            <v:imagedata r:id="rId32" o:title=""/>
                          </v:shape>
                          <o:OLEObject Type="Embed" ProgID="Excel.OpenDocumentSpreadsheet.12" ShapeID="_x0000_i1025" DrawAspect="Content" ObjectID="_1623583687" r:id="rId34"/>
                        </w:object>
                      </w:r>
                    </w:p>
                  </w:txbxContent>
                </v:textbox>
                <w10:wrap type="square"/>
              </v:shape>
            </w:pict>
          </mc:Fallback>
        </mc:AlternateContent>
      </w:r>
      <w:r>
        <w:t>Dáta z roku 2019 sú k 25.06.2019. Celkový počet organizácií v štatistike portálu data.gov.sk je 83.</w:t>
      </w:r>
    </w:p>
    <w:p w:rsidR="00760243" w:rsidRDefault="00760243" w:rsidP="00760243">
      <w:r>
        <w:t xml:space="preserve">V absolútnom počte zverejnených </w:t>
      </w:r>
      <w:proofErr w:type="spellStart"/>
      <w:r>
        <w:t>datasetov</w:t>
      </w:r>
      <w:proofErr w:type="spellEnd"/>
      <w:r>
        <w:t xml:space="preserve"> vedie Štatistický úrad SR, čo je pochopiteľné. Z územnej samosprávy dlhodobo vedie mesto Prešov.</w:t>
      </w:r>
    </w:p>
    <w:p w:rsidR="00760243" w:rsidRDefault="00760243" w:rsidP="00760243">
      <w:pPr>
        <w:pStyle w:val="Textbody"/>
      </w:pPr>
      <w:r>
        <w:rPr>
          <w:noProof/>
          <w:lang w:eastAsia="sk-SK" w:bidi="ar-SA"/>
        </w:rPr>
        <w:lastRenderedPageBreak/>
        <w:drawing>
          <wp:anchor distT="0" distB="0" distL="114300" distR="114300" simplePos="0" relativeHeight="251670528" behindDoc="0" locked="0" layoutInCell="1" allowOverlap="1" wp14:anchorId="216F2FD9" wp14:editId="418B69F4">
            <wp:simplePos x="0" y="0"/>
            <wp:positionH relativeFrom="column">
              <wp:align>center</wp:align>
            </wp:positionH>
            <wp:positionV relativeFrom="paragraph">
              <wp:align>top</wp:align>
            </wp:positionV>
            <wp:extent cx="6120000" cy="3240360"/>
            <wp:effectExtent l="0" t="0" r="0" b="0"/>
            <wp:wrapSquare wrapText="bothSides"/>
            <wp:docPr id="7"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t xml:space="preserve">Poznámka: Metodika určenia počtu </w:t>
      </w:r>
      <w:proofErr w:type="spellStart"/>
      <w:r>
        <w:t>datasetov</w:t>
      </w:r>
      <w:proofErr w:type="spellEnd"/>
      <w:r>
        <w:t xml:space="preserve"> v jednotlivých rokoch môže byť rozdielna.</w:t>
      </w:r>
    </w:p>
    <w:p w:rsidR="00760243" w:rsidRDefault="00760243" w:rsidP="00760243">
      <w:pPr>
        <w:pStyle w:val="Nadpis2"/>
      </w:pPr>
      <w:bookmarkStart w:id="3" w:name="__RefHeading___Toc447_2396483536"/>
      <w:proofErr w:type="spellStart"/>
      <w:r>
        <w:t>Tagy</w:t>
      </w:r>
      <w:proofErr w:type="spellEnd"/>
      <w:r>
        <w:t xml:space="preserve"> (kľúčové slová)</w:t>
      </w:r>
      <w:bookmarkEnd w:id="3"/>
    </w:p>
    <w:p w:rsidR="00760243" w:rsidRDefault="00760243" w:rsidP="00760243">
      <w:pPr>
        <w:pStyle w:val="Textbody"/>
      </w:pPr>
      <w:r>
        <w:t xml:space="preserve">Portál data.gov.sk umožňuje vyhľadávať </w:t>
      </w:r>
      <w:proofErr w:type="spellStart"/>
      <w:r>
        <w:t>datasety</w:t>
      </w:r>
      <w:proofErr w:type="spellEnd"/>
      <w:r>
        <w:t xml:space="preserve"> podľa </w:t>
      </w:r>
      <w:proofErr w:type="spellStart"/>
      <w:r>
        <w:t>tagu</w:t>
      </w:r>
      <w:proofErr w:type="spellEnd"/>
      <w:r>
        <w:t xml:space="preserve"> (kľúčového slova), čo je veľmi užitočná funkcia. Portál ponúka niekoľko obľúbených, často používaných </w:t>
      </w:r>
      <w:proofErr w:type="spellStart"/>
      <w:r>
        <w:t>tagov</w:t>
      </w:r>
      <w:proofErr w:type="spellEnd"/>
      <w:r>
        <w:t>.</w:t>
      </w:r>
    </w:p>
    <w:p w:rsidR="00760243" w:rsidRDefault="00760243" w:rsidP="00760243">
      <w:pPr>
        <w:pStyle w:val="Textbody"/>
      </w:pPr>
      <w:r>
        <w:rPr>
          <w:noProof/>
          <w:lang w:eastAsia="sk-SK" w:bidi="ar-SA"/>
        </w:rPr>
        <w:drawing>
          <wp:anchor distT="0" distB="0" distL="114300" distR="114300" simplePos="0" relativeHeight="251665408" behindDoc="0" locked="0" layoutInCell="1" allowOverlap="1" wp14:anchorId="1C6C927B" wp14:editId="0C3C2E30">
            <wp:simplePos x="0" y="0"/>
            <wp:positionH relativeFrom="column">
              <wp:align>center</wp:align>
            </wp:positionH>
            <wp:positionV relativeFrom="paragraph">
              <wp:align>top</wp:align>
            </wp:positionV>
            <wp:extent cx="6120000" cy="2880360"/>
            <wp:effectExtent l="0" t="0" r="0" b="0"/>
            <wp:wrapSquare wrapText="bothSides"/>
            <wp:docPr id="8" name="Objekt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t xml:space="preserve">Najväčší podiel majú </w:t>
      </w:r>
      <w:proofErr w:type="spellStart"/>
      <w:r>
        <w:t>datasety</w:t>
      </w:r>
      <w:proofErr w:type="spellEnd"/>
      <w:r>
        <w:t xml:space="preserve"> s </w:t>
      </w:r>
      <w:proofErr w:type="spellStart"/>
      <w:r>
        <w:t>tagom</w:t>
      </w:r>
      <w:proofErr w:type="spellEnd"/>
      <w:r>
        <w:t xml:space="preserve"> </w:t>
      </w:r>
      <w:r>
        <w:rPr>
          <w:i/>
          <w:iCs/>
        </w:rPr>
        <w:t>štatistika</w:t>
      </w:r>
      <w:r>
        <w:t xml:space="preserve">, čo je pochopiteľné lebo práve Štatistický úrad SR má najväčší počet zverejnených </w:t>
      </w:r>
      <w:proofErr w:type="spellStart"/>
      <w:r>
        <w:t>datasetov</w:t>
      </w:r>
      <w:proofErr w:type="spellEnd"/>
      <w:r>
        <w:t>. Záujem používateľov o </w:t>
      </w:r>
      <w:proofErr w:type="spellStart"/>
      <w:r>
        <w:t>datasety</w:t>
      </w:r>
      <w:proofErr w:type="spellEnd"/>
      <w:r>
        <w:t xml:space="preserve"> volieb zrejme bude časovo variabilný podľa dátumu volieb.</w:t>
      </w:r>
    </w:p>
    <w:p w:rsidR="00760243" w:rsidRDefault="00760243" w:rsidP="00760243">
      <w:pPr>
        <w:pStyle w:val="Nadpis2"/>
      </w:pPr>
      <w:bookmarkStart w:id="4" w:name="__RefHeading___Toc272_6072258"/>
      <w:r>
        <w:lastRenderedPageBreak/>
        <w:t xml:space="preserve">Licencie </w:t>
      </w:r>
      <w:proofErr w:type="spellStart"/>
      <w:r>
        <w:t>datasetov</w:t>
      </w:r>
      <w:bookmarkEnd w:id="4"/>
      <w:proofErr w:type="spellEnd"/>
    </w:p>
    <w:p w:rsidR="00760243" w:rsidRDefault="00760243" w:rsidP="00760243">
      <w:pPr>
        <w:pStyle w:val="Textbody"/>
      </w:pPr>
      <w:r>
        <w:rPr>
          <w:noProof/>
          <w:lang w:eastAsia="sk-SK" w:bidi="ar-SA"/>
        </w:rPr>
        <w:drawing>
          <wp:anchor distT="0" distB="0" distL="114300" distR="114300" simplePos="0" relativeHeight="251668480" behindDoc="0" locked="0" layoutInCell="1" allowOverlap="1" wp14:anchorId="7BC48F12" wp14:editId="3EB1A91D">
            <wp:simplePos x="0" y="0"/>
            <wp:positionH relativeFrom="column">
              <wp:align>center</wp:align>
            </wp:positionH>
            <wp:positionV relativeFrom="paragraph">
              <wp:align>top</wp:align>
            </wp:positionV>
            <wp:extent cx="6120000" cy="2880360"/>
            <wp:effectExtent l="0" t="0" r="0" b="0"/>
            <wp:wrapSquare wrapText="bothSides"/>
            <wp:docPr id="9" name="Objekt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t xml:space="preserve">V roku 2017 najväčší podiel pri zverejnených </w:t>
      </w:r>
      <w:proofErr w:type="spellStart"/>
      <w:r>
        <w:t>datasetoch</w:t>
      </w:r>
      <w:proofErr w:type="spellEnd"/>
      <w:r>
        <w:t xml:space="preserve"> mala licencia CC-BY-SA</w:t>
      </w:r>
      <w:r>
        <w:rPr>
          <w:rStyle w:val="Odkaznapoznmkupodiarou"/>
        </w:rPr>
        <w:footnoteReference w:id="2"/>
      </w:r>
      <w:r>
        <w:t xml:space="preserve">. V roku 2018 výrazne vzrástol počet </w:t>
      </w:r>
      <w:proofErr w:type="spellStart"/>
      <w:r>
        <w:t>datasetov</w:t>
      </w:r>
      <w:proofErr w:type="spellEnd"/>
      <w:r>
        <w:t xml:space="preserve"> s licenciou CC0. V roku 2019 je opäť na prvom mieste licencia CC-BY-SA a licencia CC0 sa drží na druhom mieste.</w:t>
      </w:r>
    </w:p>
    <w:p w:rsidR="00760243" w:rsidRDefault="00760243" w:rsidP="00760243">
      <w:pPr>
        <w:pStyle w:val="Textbody"/>
      </w:pPr>
      <w:r>
        <w:t xml:space="preserve">Poskytovateľ </w:t>
      </w:r>
      <w:proofErr w:type="spellStart"/>
      <w:r>
        <w:t>datasetov</w:t>
      </w:r>
      <w:proofErr w:type="spellEnd"/>
      <w:r>
        <w:t xml:space="preserve">, ktorý neuvádza licenciu, je Úrad vlády SR. Viacerí poskytovatelia malého počtu </w:t>
      </w:r>
      <w:proofErr w:type="spellStart"/>
      <w:r>
        <w:t>datasetov</w:t>
      </w:r>
      <w:proofErr w:type="spellEnd"/>
      <w:r>
        <w:t xml:space="preserve"> uvádzajú obmedzujúce licencie.</w:t>
      </w:r>
    </w:p>
    <w:p w:rsidR="00760243" w:rsidRDefault="00760243" w:rsidP="00760243">
      <w:pPr>
        <w:pStyle w:val="Nadpis2"/>
      </w:pPr>
      <w:bookmarkStart w:id="5" w:name="__RefHeading___Toc449_2396483536"/>
      <w:r>
        <w:t xml:space="preserve">Formáty </w:t>
      </w:r>
      <w:proofErr w:type="spellStart"/>
      <w:r>
        <w:t>datasetov</w:t>
      </w:r>
      <w:bookmarkEnd w:id="5"/>
      <w:proofErr w:type="spellEnd"/>
    </w:p>
    <w:p w:rsidR="00760243" w:rsidRDefault="00760243" w:rsidP="00760243">
      <w:pPr>
        <w:pStyle w:val="Textbody"/>
        <w:ind w:firstLine="0"/>
      </w:pPr>
      <w:r>
        <w:rPr>
          <w:noProof/>
          <w:lang w:eastAsia="sk-SK" w:bidi="ar-SA"/>
        </w:rPr>
        <w:drawing>
          <wp:anchor distT="0" distB="0" distL="114300" distR="114300" simplePos="0" relativeHeight="251666432" behindDoc="0" locked="0" layoutInCell="1" allowOverlap="1" wp14:anchorId="40B195E0" wp14:editId="77CF9221">
            <wp:simplePos x="0" y="0"/>
            <wp:positionH relativeFrom="column">
              <wp:align>center</wp:align>
            </wp:positionH>
            <wp:positionV relativeFrom="paragraph">
              <wp:align>top</wp:align>
            </wp:positionV>
            <wp:extent cx="6120000" cy="3240360"/>
            <wp:effectExtent l="0" t="0" r="0" b="0"/>
            <wp:wrapSquare wrapText="bothSides"/>
            <wp:docPr id="10" name="Objekt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t xml:space="preserve">V roku 2018 dominoval formát XML. V roku 2019 je najpoužívanejším formát CSV. Formát PDF má podiel 6 %, čo je stále veľa vzhľadom na horšiu strojovú spracovateľnosť tohto formátu. Formát XLSX </w:t>
      </w:r>
      <w:r>
        <w:lastRenderedPageBreak/>
        <w:t xml:space="preserve">by mal byť zverejňovaný spolu s alternatívnym formátom ODS (ktorý má ale podstatne nižší podiel ako XLSX). Relatívne malý počet </w:t>
      </w:r>
      <w:proofErr w:type="spellStart"/>
      <w:r>
        <w:t>datasetov</w:t>
      </w:r>
      <w:proofErr w:type="spellEnd"/>
      <w:r>
        <w:t xml:space="preserve"> je sprístupnený v niektorom z viacerých zastaraných alebo nevhodných formátov, napr. XLS, RTF, DOCX, DOC, RAR, JPG.</w:t>
      </w:r>
    </w:p>
    <w:p w:rsidR="00760243" w:rsidRDefault="00760243" w:rsidP="00760243">
      <w:pPr>
        <w:pStyle w:val="Nadpis2"/>
      </w:pPr>
      <w:bookmarkStart w:id="6" w:name="__RefHeading___Toc499_2396483536"/>
      <w:r>
        <w:t xml:space="preserve">Aktualizácia </w:t>
      </w:r>
      <w:proofErr w:type="spellStart"/>
      <w:r>
        <w:t>datasetu</w:t>
      </w:r>
      <w:bookmarkEnd w:id="6"/>
      <w:proofErr w:type="spellEnd"/>
    </w:p>
    <w:p w:rsidR="00760243" w:rsidRDefault="00760243" w:rsidP="00760243">
      <w:pPr>
        <w:pStyle w:val="Textbody"/>
      </w:pPr>
      <w:r>
        <w:rPr>
          <w:noProof/>
          <w:lang w:eastAsia="sk-SK" w:bidi="ar-SA"/>
        </w:rPr>
        <w:drawing>
          <wp:anchor distT="0" distB="0" distL="114300" distR="114300" simplePos="0" relativeHeight="251672576" behindDoc="0" locked="0" layoutInCell="1" allowOverlap="1" wp14:anchorId="7126016F" wp14:editId="5A11EC7E">
            <wp:simplePos x="0" y="0"/>
            <wp:positionH relativeFrom="column">
              <wp:align>center</wp:align>
            </wp:positionH>
            <wp:positionV relativeFrom="paragraph">
              <wp:align>top</wp:align>
            </wp:positionV>
            <wp:extent cx="6120000" cy="2520360"/>
            <wp:effectExtent l="0" t="0" r="0" b="0"/>
            <wp:wrapSquare wrapText="bothSides"/>
            <wp:docPr id="11" name="Objekt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t xml:space="preserve">Vychádzame zo zoznamu </w:t>
      </w:r>
      <w:proofErr w:type="spellStart"/>
      <w:r>
        <w:t>datasetov</w:t>
      </w:r>
      <w:proofErr w:type="spellEnd"/>
      <w:r>
        <w:t xml:space="preserve"> od prevádzkovateľa (NASES)</w:t>
      </w:r>
      <w:r>
        <w:rPr>
          <w:rStyle w:val="Odkaznapoznmkupodiarou"/>
        </w:rPr>
        <w:footnoteReference w:id="3"/>
      </w:r>
      <w:r>
        <w:t xml:space="preserve">, absolútne počty </w:t>
      </w:r>
      <w:proofErr w:type="spellStart"/>
      <w:r>
        <w:t>datasetov</w:t>
      </w:r>
      <w:proofErr w:type="spellEnd"/>
      <w:r>
        <w:t xml:space="preserve"> sa líšia od predchádzajúcich kapitol.  V grafoch 5, 6, 7, 8, 10 </w:t>
      </w:r>
      <w:proofErr w:type="spellStart"/>
      <w:r>
        <w:t>započítaváme</w:t>
      </w:r>
      <w:proofErr w:type="spellEnd"/>
      <w:r>
        <w:t xml:space="preserve"> každý jednotlivý </w:t>
      </w:r>
      <w:proofErr w:type="spellStart"/>
      <w:r>
        <w:t>dataset</w:t>
      </w:r>
      <w:proofErr w:type="spellEnd"/>
      <w:r>
        <w:t xml:space="preserve">, aj keď je zverejnený viacnásobne z dôvodu rozdielnych zdrojových dát, období alebo viacerých formátov. Portál data.gov.sk neposkytuje všetky štatistiky potrebné pre túto analýzu, pričom portál ako zdroj štatistík uprednostňujeme pre jednoduchosť, prístupnosť. Jednotná metodika len podľa zoznamu od prevádzkovateľa by znamenala o dosť náročnejšie spracovanie dát. V roku 2018 pri väčšine </w:t>
      </w:r>
      <w:proofErr w:type="spellStart"/>
      <w:r>
        <w:t>datasetov</w:t>
      </w:r>
      <w:proofErr w:type="spellEnd"/>
      <w:r>
        <w:t xml:space="preserve"> bola </w:t>
      </w:r>
      <w:r>
        <w:rPr>
          <w:i/>
          <w:iCs/>
        </w:rPr>
        <w:t>neuvedená</w:t>
      </w:r>
      <w:r>
        <w:t xml:space="preserve"> pravidelnosť aktualizácie. V roku 2019 pri väčšine </w:t>
      </w:r>
      <w:proofErr w:type="spellStart"/>
      <w:r>
        <w:t>datasetov</w:t>
      </w:r>
      <w:proofErr w:type="spellEnd"/>
      <w:r>
        <w:t xml:space="preserve"> je </w:t>
      </w:r>
      <w:r>
        <w:rPr>
          <w:i/>
          <w:iCs/>
        </w:rPr>
        <w:t>iná</w:t>
      </w:r>
      <w:r>
        <w:t xml:space="preserve"> pravidelnosť aktualizácie (iná perióda, možno aj žiadna aktualizácia).</w:t>
      </w:r>
    </w:p>
    <w:p w:rsidR="00760243" w:rsidRDefault="00760243" w:rsidP="00760243">
      <w:pPr>
        <w:pStyle w:val="Textbody"/>
      </w:pPr>
      <w:r>
        <w:rPr>
          <w:noProof/>
          <w:lang w:eastAsia="sk-SK" w:bidi="ar-SA"/>
        </w:rPr>
        <w:drawing>
          <wp:anchor distT="0" distB="0" distL="114300" distR="114300" simplePos="0" relativeHeight="251667456" behindDoc="0" locked="0" layoutInCell="1" allowOverlap="1" wp14:anchorId="7CAA90A3" wp14:editId="367BA883">
            <wp:simplePos x="0" y="0"/>
            <wp:positionH relativeFrom="column">
              <wp:align>center</wp:align>
            </wp:positionH>
            <wp:positionV relativeFrom="paragraph">
              <wp:align>top</wp:align>
            </wp:positionV>
            <wp:extent cx="3960360" cy="1980720"/>
            <wp:effectExtent l="0" t="0" r="0" b="0"/>
            <wp:wrapTopAndBottom/>
            <wp:docPr id="12" name="Objekt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t xml:space="preserve">Podiel aktualizovaných </w:t>
      </w:r>
      <w:proofErr w:type="spellStart"/>
      <w:r>
        <w:t>datasetov</w:t>
      </w:r>
      <w:proofErr w:type="spellEnd"/>
      <w:r>
        <w:t xml:space="preserve"> je príliš nízky, podobne to bolo aj v roku 2018. Možné príčiny: ešte neuplynula lehota platnosti </w:t>
      </w:r>
      <w:proofErr w:type="spellStart"/>
      <w:r>
        <w:t>datasetu</w:t>
      </w:r>
      <w:proofErr w:type="spellEnd"/>
      <w:r>
        <w:t xml:space="preserve"> do aktualizácie (</w:t>
      </w:r>
      <w:r>
        <w:rPr>
          <w:i/>
          <w:iCs/>
        </w:rPr>
        <w:t>iná</w:t>
      </w:r>
      <w:r>
        <w:t xml:space="preserve">); </w:t>
      </w:r>
      <w:proofErr w:type="spellStart"/>
      <w:r>
        <w:t>dataset</w:t>
      </w:r>
      <w:proofErr w:type="spellEnd"/>
      <w:r>
        <w:t xml:space="preserve"> nebol aktualizovaný, aj keď mal byť; bol zverejnený nový </w:t>
      </w:r>
      <w:proofErr w:type="spellStart"/>
      <w:r>
        <w:t>dataset</w:t>
      </w:r>
      <w:proofErr w:type="spellEnd"/>
      <w:r>
        <w:t xml:space="preserve"> namiesto aktualizácie; </w:t>
      </w:r>
      <w:proofErr w:type="spellStart"/>
      <w:r>
        <w:t>dataset</w:t>
      </w:r>
      <w:proofErr w:type="spellEnd"/>
      <w:r>
        <w:t xml:space="preserve"> je zverejnený inde, na portáli je len URL adresa </w:t>
      </w:r>
      <w:proofErr w:type="spellStart"/>
      <w:r>
        <w:t>datasetu</w:t>
      </w:r>
      <w:proofErr w:type="spellEnd"/>
      <w:r>
        <w:t xml:space="preserve"> a portál nemá informáciu o aktualizácii.</w:t>
      </w:r>
    </w:p>
    <w:p w:rsidR="00760243" w:rsidRDefault="00760243" w:rsidP="00760243">
      <w:pPr>
        <w:pStyle w:val="Nadpis2"/>
      </w:pPr>
      <w:bookmarkStart w:id="7" w:name="__RefHeading___Toc567_2396483536"/>
      <w:r>
        <w:lastRenderedPageBreak/>
        <w:t xml:space="preserve">Aktuálnosť </w:t>
      </w:r>
      <w:proofErr w:type="spellStart"/>
      <w:r>
        <w:t>datasetu</w:t>
      </w:r>
      <w:bookmarkEnd w:id="7"/>
      <w:proofErr w:type="spellEnd"/>
    </w:p>
    <w:p w:rsidR="00760243" w:rsidRDefault="00760243" w:rsidP="00760243">
      <w:pPr>
        <w:pStyle w:val="Textbody"/>
      </w:pPr>
      <w:r>
        <w:rPr>
          <w:noProof/>
          <w:lang w:eastAsia="sk-SK" w:bidi="ar-SA"/>
        </w:rPr>
        <w:drawing>
          <wp:anchor distT="0" distB="0" distL="114300" distR="114300" simplePos="0" relativeHeight="251662336" behindDoc="0" locked="0" layoutInCell="1" allowOverlap="1" wp14:anchorId="40FC87A0" wp14:editId="32EBDD64">
            <wp:simplePos x="0" y="0"/>
            <wp:positionH relativeFrom="column">
              <wp:align>center</wp:align>
            </wp:positionH>
            <wp:positionV relativeFrom="paragraph">
              <wp:align>top</wp:align>
            </wp:positionV>
            <wp:extent cx="6120000" cy="3240360"/>
            <wp:effectExtent l="0" t="0" r="0" b="0"/>
            <wp:wrapSquare wrapText="bothSides"/>
            <wp:docPr id="13" name="Objekt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t xml:space="preserve">Z grafu vyplýva, že počet aktuálnych </w:t>
      </w:r>
      <w:proofErr w:type="spellStart"/>
      <w:r>
        <w:t>datasetov</w:t>
      </w:r>
      <w:proofErr w:type="spellEnd"/>
      <w:r>
        <w:t xml:space="preserve"> je od roku 2017 vyšší ako pôvodne zverejnených </w:t>
      </w:r>
      <w:proofErr w:type="spellStart"/>
      <w:r>
        <w:t>datasetov</w:t>
      </w:r>
      <w:proofErr w:type="spellEnd"/>
      <w:r>
        <w:t xml:space="preserve"> v danom roku. Nepriamo možno predpokladať, že v priemere ak je </w:t>
      </w:r>
      <w:proofErr w:type="spellStart"/>
      <w:r>
        <w:t>dataset</w:t>
      </w:r>
      <w:proofErr w:type="spellEnd"/>
      <w:r>
        <w:t xml:space="preserve"> aktualizovaný, je aktualizovaný do 3 rokov. Niektoré </w:t>
      </w:r>
      <w:proofErr w:type="spellStart"/>
      <w:r>
        <w:t>datasety</w:t>
      </w:r>
      <w:proofErr w:type="spellEnd"/>
      <w:r>
        <w:t xml:space="preserve"> môžu byť </w:t>
      </w:r>
      <w:proofErr w:type="spellStart"/>
      <w:r>
        <w:t>jednorázové</w:t>
      </w:r>
      <w:proofErr w:type="spellEnd"/>
      <w:r>
        <w:t xml:space="preserve">, bez potreby aktualizácie. Červený stĺpec je maximum z roku zverejnenia a z roku aktualizácie. V zozname </w:t>
      </w:r>
      <w:proofErr w:type="spellStart"/>
      <w:r>
        <w:t>datasetov</w:t>
      </w:r>
      <w:proofErr w:type="spellEnd"/>
      <w:r>
        <w:t xml:space="preserve"> je niekoľko s  dátumom zverejnenia pred rokom 2011, kedy sa začína a s Iniciatívou pre otvorené vládnutie: registre odborne spôsobilých osôb (regionálne úrady verejného zdravotníctva).</w:t>
      </w:r>
    </w:p>
    <w:p w:rsidR="00760243" w:rsidRDefault="00760243" w:rsidP="00760243">
      <w:pPr>
        <w:pStyle w:val="Nadpis2"/>
      </w:pPr>
      <w:bookmarkStart w:id="8" w:name="__RefHeading___Toc569_2396483536"/>
      <w:r>
        <w:t xml:space="preserve">Veľkosť </w:t>
      </w:r>
      <w:proofErr w:type="spellStart"/>
      <w:r>
        <w:t>datasetu</w:t>
      </w:r>
      <w:bookmarkEnd w:id="8"/>
      <w:proofErr w:type="spellEnd"/>
    </w:p>
    <w:p w:rsidR="00760243" w:rsidRDefault="00760243" w:rsidP="00760243">
      <w:pPr>
        <w:pStyle w:val="Textbody"/>
      </w:pPr>
      <w:r>
        <w:rPr>
          <w:noProof/>
          <w:lang w:eastAsia="sk-SK" w:bidi="ar-SA"/>
        </w:rPr>
        <w:drawing>
          <wp:anchor distT="0" distB="0" distL="114300" distR="114300" simplePos="0" relativeHeight="251669504" behindDoc="0" locked="0" layoutInCell="1" allowOverlap="1" wp14:anchorId="1D991E1F" wp14:editId="1625481B">
            <wp:simplePos x="0" y="0"/>
            <wp:positionH relativeFrom="column">
              <wp:align>center</wp:align>
            </wp:positionH>
            <wp:positionV relativeFrom="paragraph">
              <wp:align>top</wp:align>
            </wp:positionV>
            <wp:extent cx="6120000" cy="2520360"/>
            <wp:effectExtent l="0" t="0" r="0" b="0"/>
            <wp:wrapSquare wrapText="bothSides"/>
            <wp:docPr id="14" name="Objekt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t xml:space="preserve">Najväčší zverejnený </w:t>
      </w:r>
      <w:proofErr w:type="spellStart"/>
      <w:r>
        <w:t>dataset</w:t>
      </w:r>
      <w:proofErr w:type="spellEnd"/>
      <w:r>
        <w:t xml:space="preserve"> je </w:t>
      </w:r>
      <w:r>
        <w:rPr>
          <w:i/>
          <w:iCs/>
        </w:rPr>
        <w:t>Register Adries – Register vchodov (orientačných čísiel)</w:t>
      </w:r>
      <w:r>
        <w:t xml:space="preserve"> od Ministerstva vnútra SR, s veľkosťou 938 </w:t>
      </w:r>
      <w:proofErr w:type="spellStart"/>
      <w:r>
        <w:t>MiB</w:t>
      </w:r>
      <w:proofErr w:type="spellEnd"/>
      <w:r>
        <w:t xml:space="preserve">. Časť </w:t>
      </w:r>
      <w:proofErr w:type="spellStart"/>
      <w:r>
        <w:t>datasetov</w:t>
      </w:r>
      <w:proofErr w:type="spellEnd"/>
      <w:r>
        <w:t xml:space="preserve"> nemá uvedenú veľkosť. Veľkosť všetkých </w:t>
      </w:r>
      <w:proofErr w:type="spellStart"/>
      <w:r>
        <w:t>datasetov</w:t>
      </w:r>
      <w:proofErr w:type="spellEnd"/>
      <w:r>
        <w:t xml:space="preserve"> spolu je 23 </w:t>
      </w:r>
      <w:proofErr w:type="spellStart"/>
      <w:r>
        <w:t>GiB</w:t>
      </w:r>
      <w:proofErr w:type="spellEnd"/>
      <w:r>
        <w:t>.</w:t>
      </w:r>
    </w:p>
    <w:p w:rsidR="00760243" w:rsidRDefault="00760243" w:rsidP="00760243">
      <w:pPr>
        <w:pStyle w:val="Nadpis2"/>
      </w:pPr>
      <w:bookmarkStart w:id="9" w:name="__RefHeading___Toc924_2396483536"/>
      <w:r>
        <w:lastRenderedPageBreak/>
        <w:t xml:space="preserve">Používatelia </w:t>
      </w:r>
      <w:proofErr w:type="spellStart"/>
      <w:r>
        <w:t>datasetov</w:t>
      </w:r>
      <w:bookmarkEnd w:id="9"/>
      <w:proofErr w:type="spellEnd"/>
    </w:p>
    <w:p w:rsidR="00760243" w:rsidRDefault="00760243" w:rsidP="00760243">
      <w:pPr>
        <w:pStyle w:val="Textbody"/>
      </w:pPr>
      <w:r>
        <w:t xml:space="preserve">Na portáli data.gov.sk v záložke Štatistiky sa uvádza počet registrovaných používateľov portálu (používateľov </w:t>
      </w:r>
      <w:proofErr w:type="spellStart"/>
      <w:r>
        <w:t>datasetov</w:t>
      </w:r>
      <w:proofErr w:type="spellEnd"/>
      <w:r>
        <w:t>) spolu 3 811. Keďže portál s </w:t>
      </w:r>
      <w:proofErr w:type="spellStart"/>
      <w:r>
        <w:t>datasetmi</w:t>
      </w:r>
      <w:proofErr w:type="spellEnd"/>
      <w:r>
        <w:t xml:space="preserve"> je verejne prístupný, používateľ nemusí byť registrovaný. Všetkých používateľov bude viac. Registrovaný používateľ dostáva navyše napríklad notifikácie o </w:t>
      </w:r>
      <w:proofErr w:type="spellStart"/>
      <w:r>
        <w:t>datasetoch</w:t>
      </w:r>
      <w:proofErr w:type="spellEnd"/>
      <w:r>
        <w:t xml:space="preserve"> (nových, aktualizovaných, zmazaných a podobe), metadáta k </w:t>
      </w:r>
      <w:proofErr w:type="spellStart"/>
      <w:r>
        <w:t>datasetom</w:t>
      </w:r>
      <w:proofErr w:type="spellEnd"/>
      <w:r>
        <w:t>.</w:t>
      </w:r>
    </w:p>
    <w:p w:rsidR="00760243" w:rsidRDefault="00760243" w:rsidP="00760243">
      <w:pPr>
        <w:pStyle w:val="Textbody"/>
      </w:pPr>
      <w:r>
        <w:t xml:space="preserve">Portál data.gov.sk sprístupňuje služby priamo, alebo cez </w:t>
      </w:r>
      <w:r>
        <w:rPr>
          <w:i/>
          <w:iCs/>
        </w:rPr>
        <w:t>Ústredný portál verejnej správy</w:t>
      </w:r>
      <w:r>
        <w:t xml:space="preserve"> (</w:t>
      </w:r>
      <w:hyperlink r:id="rId43" w:history="1">
        <w:r>
          <w:t>https://www.slovensko.sk</w:t>
        </w:r>
      </w:hyperlink>
      <w:r>
        <w:t>), pomocou Katalógu služieb. Portál data.gov.sk informuje týchto poskytovaných službách</w:t>
      </w:r>
      <w:r>
        <w:rPr>
          <w:rStyle w:val="Odkaznapoznmkupodiarou"/>
        </w:rPr>
        <w:footnoteReference w:id="4"/>
      </w:r>
      <w:r>
        <w:t>:</w:t>
      </w:r>
    </w:p>
    <w:p w:rsidR="00760243" w:rsidRDefault="00760243" w:rsidP="00760243">
      <w:pPr>
        <w:pStyle w:val="Textbody"/>
        <w:numPr>
          <w:ilvl w:val="0"/>
          <w:numId w:val="2"/>
        </w:numPr>
      </w:pPr>
      <w:r>
        <w:t>poskytovanie dát v otvorených formátoch</w:t>
      </w:r>
    </w:p>
    <w:p w:rsidR="00760243" w:rsidRDefault="00760243" w:rsidP="00760243">
      <w:pPr>
        <w:pStyle w:val="Textbody"/>
        <w:numPr>
          <w:ilvl w:val="0"/>
          <w:numId w:val="2"/>
        </w:numPr>
      </w:pPr>
      <w:r>
        <w:t>poskytovanie metadát k poskytovaným dátam alebo dátovému zdroju</w:t>
      </w:r>
    </w:p>
    <w:p w:rsidR="00760243" w:rsidRDefault="00760243" w:rsidP="00760243">
      <w:pPr>
        <w:pStyle w:val="Textbody"/>
        <w:numPr>
          <w:ilvl w:val="0"/>
          <w:numId w:val="2"/>
        </w:numPr>
      </w:pPr>
      <w:r>
        <w:t>grafická vizualizácia poskytovaných dát</w:t>
      </w:r>
    </w:p>
    <w:p w:rsidR="00760243" w:rsidRDefault="00760243" w:rsidP="00760243">
      <w:pPr>
        <w:pStyle w:val="Textbody"/>
        <w:numPr>
          <w:ilvl w:val="0"/>
          <w:numId w:val="2"/>
        </w:numPr>
      </w:pPr>
      <w:r>
        <w:t>geografická prezentácia poskytovaných dát</w:t>
      </w:r>
    </w:p>
    <w:p w:rsidR="00760243" w:rsidRDefault="00760243" w:rsidP="00760243">
      <w:pPr>
        <w:pStyle w:val="Textbody"/>
        <w:numPr>
          <w:ilvl w:val="0"/>
          <w:numId w:val="2"/>
        </w:numPr>
      </w:pPr>
      <w:r>
        <w:t xml:space="preserve">vyhľadávanie dát podľa </w:t>
      </w:r>
      <w:proofErr w:type="spellStart"/>
      <w:r>
        <w:t>tagov</w:t>
      </w:r>
      <w:proofErr w:type="spellEnd"/>
      <w:r>
        <w:t xml:space="preserve"> (kľúčových slov)</w:t>
      </w:r>
    </w:p>
    <w:p w:rsidR="00760243" w:rsidRDefault="00760243" w:rsidP="00760243">
      <w:pPr>
        <w:pStyle w:val="Textbody"/>
        <w:numPr>
          <w:ilvl w:val="0"/>
          <w:numId w:val="2"/>
        </w:numPr>
      </w:pPr>
      <w:r>
        <w:t>vyhľadávanie dát podľa organizácie (poskytovateľa)</w:t>
      </w:r>
    </w:p>
    <w:p w:rsidR="00760243" w:rsidRDefault="00760243" w:rsidP="00760243">
      <w:pPr>
        <w:pStyle w:val="Textbody"/>
        <w:numPr>
          <w:ilvl w:val="0"/>
          <w:numId w:val="2"/>
        </w:numPr>
      </w:pPr>
      <w:r>
        <w:t xml:space="preserve">vyhľadávanie dát podľa geografickej </w:t>
      </w:r>
      <w:proofErr w:type="spellStart"/>
      <w:r>
        <w:t>lokácie</w:t>
      </w:r>
      <w:proofErr w:type="spellEnd"/>
    </w:p>
    <w:p w:rsidR="00760243" w:rsidRDefault="00760243" w:rsidP="00760243">
      <w:pPr>
        <w:pStyle w:val="Textbody"/>
        <w:ind w:firstLine="0"/>
      </w:pPr>
      <w:r>
        <w:t>Verejnosť môže využiť nasledovné podania:</w:t>
      </w:r>
    </w:p>
    <w:p w:rsidR="00760243" w:rsidRDefault="00760243" w:rsidP="00760243">
      <w:pPr>
        <w:pStyle w:val="Textbody"/>
        <w:numPr>
          <w:ilvl w:val="0"/>
          <w:numId w:val="3"/>
        </w:numPr>
      </w:pPr>
      <w:r>
        <w:t>žiadosť o sprístupnenie informácií na účely opakovaného použitia podľa zákona o slobodnom prístupe k informáciám</w:t>
      </w:r>
    </w:p>
    <w:p w:rsidR="00760243" w:rsidRDefault="00760243" w:rsidP="00760243">
      <w:pPr>
        <w:pStyle w:val="Textbody"/>
        <w:numPr>
          <w:ilvl w:val="0"/>
          <w:numId w:val="3"/>
        </w:numPr>
      </w:pPr>
      <w:r>
        <w:t>návrh na zverejnenie údajov na Portáli otvorených dát</w:t>
      </w:r>
    </w:p>
    <w:p w:rsidR="00760243" w:rsidRDefault="00760243" w:rsidP="00760243">
      <w:pPr>
        <w:pStyle w:val="Textbody"/>
        <w:numPr>
          <w:ilvl w:val="0"/>
          <w:numId w:val="3"/>
        </w:numPr>
      </w:pPr>
      <w:r>
        <w:t>žiadosť o registráciu aplikácie na Portáli otvorených dát</w:t>
      </w:r>
    </w:p>
    <w:p w:rsidR="00760243" w:rsidRDefault="00760243" w:rsidP="00760243">
      <w:pPr>
        <w:pStyle w:val="Textbody"/>
        <w:numPr>
          <w:ilvl w:val="0"/>
          <w:numId w:val="3"/>
        </w:numPr>
      </w:pPr>
      <w:r>
        <w:t>podnet na úpravu údajov zverejnených na Portáli otvorených dát</w:t>
      </w:r>
    </w:p>
    <w:p w:rsidR="00760243" w:rsidRDefault="00760243" w:rsidP="00760243">
      <w:pPr>
        <w:pStyle w:val="Textbody"/>
        <w:numPr>
          <w:ilvl w:val="0"/>
          <w:numId w:val="3"/>
        </w:numPr>
      </w:pPr>
      <w:r>
        <w:t xml:space="preserve">žiadosť o zvýšenie kapacity na uloženie </w:t>
      </w:r>
      <w:proofErr w:type="spellStart"/>
      <w:r>
        <w:t>datasetov</w:t>
      </w:r>
      <w:proofErr w:type="spellEnd"/>
      <w:r>
        <w:t xml:space="preserve"> na Portáli otvorených dát (neposkytuje sa)</w:t>
      </w:r>
    </w:p>
    <w:p w:rsidR="001768C5" w:rsidRDefault="00760243" w:rsidP="00760243">
      <w:pPr>
        <w:pStyle w:val="Textbody"/>
        <w:numPr>
          <w:ilvl w:val="0"/>
          <w:numId w:val="3"/>
        </w:numPr>
      </w:pPr>
      <w:r>
        <w:t>žiadosť o pridelenie zvýhodneného prístupu k údajom zverejneným na Portáli otvorených dát (neposkytuje sa)</w:t>
      </w:r>
    </w:p>
    <w:p w:rsidR="00760243" w:rsidRDefault="001768C5" w:rsidP="001768C5">
      <w:pPr>
        <w:suppressAutoHyphens w:val="0"/>
        <w:autoSpaceDN/>
        <w:spacing w:after="160" w:line="259" w:lineRule="auto"/>
        <w:textAlignment w:val="auto"/>
      </w:pPr>
      <w:r>
        <w:br w:type="page"/>
      </w:r>
    </w:p>
    <w:p w:rsidR="00760243" w:rsidRDefault="00760243" w:rsidP="00760243">
      <w:pPr>
        <w:pStyle w:val="Nadpis1"/>
      </w:pPr>
      <w:bookmarkStart w:id="10" w:name="__RefHeading___Toc25609_1655535301"/>
      <w:r>
        <w:lastRenderedPageBreak/>
        <w:t>Kvalitatívna analýza</w:t>
      </w:r>
      <w:bookmarkEnd w:id="10"/>
    </w:p>
    <w:p w:rsidR="00760243" w:rsidRDefault="00760243" w:rsidP="00760243">
      <w:pPr>
        <w:pStyle w:val="Textbody"/>
      </w:pPr>
      <w:r>
        <w:t xml:space="preserve">Táto kapitola analyzuje zverejňovanie </w:t>
      </w:r>
      <w:proofErr w:type="spellStart"/>
      <w:r>
        <w:t>datasetov</w:t>
      </w:r>
      <w:proofErr w:type="spellEnd"/>
      <w:r>
        <w:t xml:space="preserve"> z pohľadu používateľa, podľa kvalitatívnych kritérií, napr. aké nástroje a aplikácie môže používateľ použiť, alebo v porovnaní so zahraničím.</w:t>
      </w:r>
    </w:p>
    <w:p w:rsidR="00760243" w:rsidRDefault="00760243" w:rsidP="00760243">
      <w:pPr>
        <w:pStyle w:val="Nadpis2"/>
      </w:pPr>
      <w:bookmarkStart w:id="11" w:name="__RefHeading___Toc1553_2396483536"/>
      <w:r>
        <w:t xml:space="preserve">Hodnotenie </w:t>
      </w:r>
      <w:proofErr w:type="spellStart"/>
      <w:r>
        <w:t>datasetov</w:t>
      </w:r>
      <w:bookmarkEnd w:id="11"/>
      <w:proofErr w:type="spellEnd"/>
    </w:p>
    <w:p w:rsidR="00760243" w:rsidRDefault="00760243" w:rsidP="00760243">
      <w:pPr>
        <w:pStyle w:val="Textbody"/>
      </w:pPr>
      <w:r>
        <w:t xml:space="preserve">Tim </w:t>
      </w:r>
      <w:proofErr w:type="spellStart"/>
      <w:r>
        <w:t>Berners-Lee</w:t>
      </w:r>
      <w:proofErr w:type="spellEnd"/>
      <w:r>
        <w:t>, vynálezca webu a iniciátor prepojených dát, navrhol hodnotenie otvorených dát hviezdičkami</w:t>
      </w:r>
      <w:r>
        <w:rPr>
          <w:rStyle w:val="Odkaznapoznmkupodiarou"/>
        </w:rPr>
        <w:footnoteReference w:id="5"/>
      </w:r>
      <w:r>
        <w:t>:</w:t>
      </w:r>
    </w:p>
    <w:p w:rsidR="00760243" w:rsidRDefault="00760243" w:rsidP="00760243">
      <w:pPr>
        <w:pStyle w:val="Textbody"/>
        <w:tabs>
          <w:tab w:val="left" w:pos="850"/>
          <w:tab w:val="left" w:pos="1125"/>
          <w:tab w:val="left" w:pos="1425"/>
          <w:tab w:val="left" w:pos="1713"/>
          <w:tab w:val="left" w:pos="1988"/>
        </w:tabs>
        <w:ind w:firstLine="0"/>
      </w:pPr>
      <w:r>
        <w:t>*</w:t>
      </w:r>
      <w:r>
        <w:tab/>
        <w:t>zverejnené dáta s otvorenou (verejnou) licenciou (vo webovom prostredí)</w:t>
      </w:r>
    </w:p>
    <w:p w:rsidR="00760243" w:rsidRDefault="00760243" w:rsidP="00760243">
      <w:pPr>
        <w:pStyle w:val="Textbody"/>
        <w:tabs>
          <w:tab w:val="left" w:pos="850"/>
          <w:tab w:val="left" w:pos="1125"/>
          <w:tab w:val="left" w:pos="1425"/>
          <w:tab w:val="left" w:pos="1713"/>
          <w:tab w:val="left" w:pos="1988"/>
        </w:tabs>
        <w:ind w:firstLine="0"/>
      </w:pPr>
      <w:r>
        <w:t>**</w:t>
      </w:r>
      <w:r>
        <w:tab/>
      </w:r>
      <w:r>
        <w:tab/>
        <w:t>+ štruktúrované strojovo spracovateľné dáta</w:t>
      </w:r>
    </w:p>
    <w:p w:rsidR="00760243" w:rsidRDefault="00760243" w:rsidP="00760243">
      <w:pPr>
        <w:pStyle w:val="Textbody"/>
        <w:tabs>
          <w:tab w:val="left" w:pos="850"/>
          <w:tab w:val="left" w:pos="1125"/>
          <w:tab w:val="left" w:pos="1425"/>
          <w:tab w:val="left" w:pos="1713"/>
          <w:tab w:val="left" w:pos="1988"/>
        </w:tabs>
        <w:ind w:firstLine="0"/>
      </w:pPr>
      <w:r>
        <w:t>***</w:t>
      </w:r>
      <w:r>
        <w:tab/>
      </w:r>
      <w:r>
        <w:tab/>
      </w:r>
      <w:r>
        <w:tab/>
        <w:t>+ otvorený štandardizovaný formát</w:t>
      </w:r>
    </w:p>
    <w:p w:rsidR="00760243" w:rsidRDefault="00760243" w:rsidP="00760243">
      <w:pPr>
        <w:pStyle w:val="Textbody"/>
        <w:tabs>
          <w:tab w:val="left" w:pos="850"/>
          <w:tab w:val="left" w:pos="1125"/>
          <w:tab w:val="left" w:pos="1425"/>
          <w:tab w:val="left" w:pos="1713"/>
          <w:tab w:val="left" w:pos="1988"/>
        </w:tabs>
        <w:ind w:firstLine="0"/>
      </w:pPr>
      <w:r>
        <w:t>****</w:t>
      </w:r>
      <w:r>
        <w:tab/>
      </w:r>
      <w:r>
        <w:tab/>
      </w:r>
      <w:r>
        <w:tab/>
      </w:r>
      <w:r>
        <w:tab/>
        <w:t xml:space="preserve">+ permanentná URI adresa (permanentný </w:t>
      </w:r>
      <w:proofErr w:type="spellStart"/>
      <w:r>
        <w:t>referencovateľný</w:t>
      </w:r>
      <w:proofErr w:type="spellEnd"/>
      <w:r>
        <w:t xml:space="preserve"> identifikátor)</w:t>
      </w:r>
    </w:p>
    <w:p w:rsidR="00760243" w:rsidRDefault="00760243" w:rsidP="00760243">
      <w:pPr>
        <w:pStyle w:val="Textbody"/>
        <w:tabs>
          <w:tab w:val="left" w:pos="850"/>
          <w:tab w:val="left" w:pos="1125"/>
          <w:tab w:val="left" w:pos="1425"/>
          <w:tab w:val="left" w:pos="1713"/>
          <w:tab w:val="left" w:pos="1988"/>
        </w:tabs>
        <w:ind w:firstLine="0"/>
      </w:pPr>
      <w:r>
        <w:t>*****</w:t>
      </w:r>
      <w:r>
        <w:tab/>
      </w:r>
      <w:r>
        <w:tab/>
      </w:r>
      <w:r>
        <w:tab/>
      </w:r>
      <w:r>
        <w:tab/>
      </w:r>
      <w:r>
        <w:tab/>
        <w:t xml:space="preserve">+ prepojené dáta (prepojené cez </w:t>
      </w:r>
      <w:proofErr w:type="spellStart"/>
      <w:r>
        <w:t>referencovateľný</w:t>
      </w:r>
      <w:proofErr w:type="spellEnd"/>
      <w:r>
        <w:t xml:space="preserve"> identifikátor na iné dáta)</w:t>
      </w:r>
    </w:p>
    <w:p w:rsidR="00760243" w:rsidRDefault="00760243" w:rsidP="00760243">
      <w:pPr>
        <w:pStyle w:val="Textbody"/>
        <w:tabs>
          <w:tab w:val="left" w:pos="850"/>
          <w:tab w:val="left" w:pos="1125"/>
          <w:tab w:val="left" w:pos="1425"/>
          <w:tab w:val="left" w:pos="1713"/>
          <w:tab w:val="left" w:pos="1988"/>
        </w:tabs>
        <w:ind w:firstLine="0"/>
      </w:pPr>
      <w:r>
        <w:t xml:space="preserve">Kvalita poskytovaného </w:t>
      </w:r>
      <w:proofErr w:type="spellStart"/>
      <w:r>
        <w:t>datasetu</w:t>
      </w:r>
      <w:proofErr w:type="spellEnd"/>
      <w:r>
        <w:t xml:space="preserve"> je v tomto význame zadefinovaná vo výnose MF SR č. 55/2017 Z. z. (Výnos o štandardoch pre informačné systémy verejnej správy)</w:t>
      </w:r>
      <w:r>
        <w:rPr>
          <w:rStyle w:val="Odkaznapoznmkupodiarou"/>
        </w:rPr>
        <w:footnoteReference w:id="6"/>
      </w:r>
      <w:r>
        <w:t>, § 51 až § 53.</w:t>
      </w:r>
    </w:p>
    <w:p w:rsidR="00760243" w:rsidRDefault="00760243" w:rsidP="00760243">
      <w:pPr>
        <w:pStyle w:val="Textbody"/>
      </w:pPr>
      <w:r>
        <w:rPr>
          <w:noProof/>
          <w:lang w:eastAsia="sk-SK" w:bidi="ar-SA"/>
        </w:rPr>
        <mc:AlternateContent>
          <mc:Choice Requires="wps">
            <w:drawing>
              <wp:anchor distT="0" distB="0" distL="114300" distR="114300" simplePos="0" relativeHeight="251661312" behindDoc="0" locked="0" layoutInCell="1" allowOverlap="1" wp14:anchorId="2F4BFA2B" wp14:editId="10C90C9B">
                <wp:simplePos x="0" y="0"/>
                <wp:positionH relativeFrom="column">
                  <wp:align>center</wp:align>
                </wp:positionH>
                <wp:positionV relativeFrom="paragraph">
                  <wp:align>top</wp:align>
                </wp:positionV>
                <wp:extent cx="6120000" cy="3474000"/>
                <wp:effectExtent l="0" t="0" r="0" b="0"/>
                <wp:wrapSquare wrapText="bothSides"/>
                <wp:docPr id="16" name="Rámec3"/>
                <wp:cNvGraphicFramePr/>
                <a:graphic xmlns:a="http://schemas.openxmlformats.org/drawingml/2006/main">
                  <a:graphicData uri="http://schemas.microsoft.com/office/word/2010/wordprocessingShape">
                    <wps:wsp>
                      <wps:cNvSpPr txBox="1"/>
                      <wps:spPr>
                        <a:xfrm>
                          <a:off x="0" y="0"/>
                          <a:ext cx="6120000" cy="3474000"/>
                        </a:xfrm>
                        <a:prstGeom prst="rect">
                          <a:avLst/>
                        </a:prstGeom>
                        <a:ln>
                          <a:noFill/>
                          <a:prstDash/>
                        </a:ln>
                      </wps:spPr>
                      <wps:txbx>
                        <w:txbxContent>
                          <w:p w:rsidR="00760243" w:rsidRDefault="00760243" w:rsidP="00760243">
                            <w:pPr>
                              <w:pStyle w:val="Figure"/>
                            </w:pPr>
                            <w:r>
                              <w:rPr>
                                <w:noProof/>
                                <w:lang w:eastAsia="sk-SK" w:bidi="ar-SA"/>
                              </w:rPr>
                              <w:drawing>
                                <wp:inline distT="0" distB="0" distL="0" distR="0" wp14:anchorId="2E866AE2" wp14:editId="75BF3A9D">
                                  <wp:extent cx="6120000" cy="3474000"/>
                                  <wp:effectExtent l="0" t="0" r="0" b="0"/>
                                  <wp:docPr id="15" name="Obrázo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lum/>
                                            <a:alphaModFix/>
                                          </a:blip>
                                          <a:srcRect/>
                                          <a:stretch>
                                            <a:fillRect/>
                                          </a:stretch>
                                        </pic:blipFill>
                                        <pic:spPr>
                                          <a:xfrm>
                                            <a:off x="0" y="0"/>
                                            <a:ext cx="6120000" cy="3474000"/>
                                          </a:xfrm>
                                          <a:prstGeom prst="rect">
                                            <a:avLst/>
                                          </a:prstGeom>
                                          <a:ln>
                                            <a:noFill/>
                                            <a:prstDash/>
                                          </a:ln>
                                        </pic:spPr>
                                      </pic:pic>
                                    </a:graphicData>
                                  </a:graphic>
                                </wp:inline>
                              </w:drawing>
                            </w:r>
                            <w:r>
                              <w:rPr>
                                <w:vanish/>
                              </w:rPr>
                              <w:br/>
                            </w:r>
                            <w:r>
                              <w:t>Obrázok 2: Hodnotenie otvorených dát hviezdičkami</w:t>
                            </w:r>
                          </w:p>
                        </w:txbxContent>
                      </wps:txbx>
                      <wps:bodyPr wrap="none" lIns="0" tIns="0" rIns="0" bIns="0" compatLnSpc="0">
                        <a:spAutoFit/>
                      </wps:bodyPr>
                    </wps:wsp>
                  </a:graphicData>
                </a:graphic>
              </wp:anchor>
            </w:drawing>
          </mc:Choice>
          <mc:Fallback>
            <w:pict>
              <v:shape w14:anchorId="2F4BFA2B" id="Rámec3" o:spid="_x0000_s1028" type="#_x0000_t202" style="position:absolute;left:0;text-align:left;margin-left:0;margin-top:0;width:481.9pt;height:273.55pt;z-index:251661312;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" filled="f" stroked="f">
                <v:textbox style="mso-fit-shape-to-text:t" inset="0,0,0,0">
                  <w:txbxContent>
                    <w:p w:rsidR="00760243" w:rsidRDefault="00760243" w:rsidP="00760243">
                      <w:pPr>
                        <w:pStyle w:val="Figure"/>
                      </w:pPr>
                      <w:r>
                        <w:rPr>
                          <w:noProof/>
                          <w:lang w:eastAsia="sk-SK" w:bidi="ar-SA"/>
                        </w:rPr>
                        <w:drawing>
                          <wp:inline distT="0" distB="0" distL="0" distR="0" wp14:anchorId="2E866AE2" wp14:editId="75BF3A9D">
                            <wp:extent cx="6120000" cy="3474000"/>
                            <wp:effectExtent l="0" t="0" r="0" b="0"/>
                            <wp:docPr id="15" name="Obrázo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lum/>
                                      <a:alphaModFix/>
                                    </a:blip>
                                    <a:srcRect/>
                                    <a:stretch>
                                      <a:fillRect/>
                                    </a:stretch>
                                  </pic:blipFill>
                                  <pic:spPr>
                                    <a:xfrm>
                                      <a:off x="0" y="0"/>
                                      <a:ext cx="6120000" cy="3474000"/>
                                    </a:xfrm>
                                    <a:prstGeom prst="rect">
                                      <a:avLst/>
                                    </a:prstGeom>
                                    <a:ln>
                                      <a:noFill/>
                                      <a:prstDash/>
                                    </a:ln>
                                  </pic:spPr>
                                </pic:pic>
                              </a:graphicData>
                            </a:graphic>
                          </wp:inline>
                        </w:drawing>
                      </w:r>
                      <w:r>
                        <w:rPr>
                          <w:vanish/>
                        </w:rPr>
                        <w:br/>
                      </w:r>
                      <w:r>
                        <w:t>Obrázok 2: Hodnotenie otvorených dát hviezdičkami</w:t>
                      </w:r>
                    </w:p>
                  </w:txbxContent>
                </v:textbox>
                <w10:wrap type="square"/>
              </v:shape>
            </w:pict>
          </mc:Fallback>
        </mc:AlternateContent>
      </w:r>
      <w:r>
        <w:t>Hodnotenie hviezdičkami možno pridať k vyššie uvedeným prehľadom licencií (kap. 1.3), formátov (kap. 1.4). Minimálna požadovaná úroveň pre otvorené dáta je úroveň 3 hviezdičiek.</w:t>
      </w:r>
    </w:p>
    <w:p w:rsidR="00760243" w:rsidRDefault="00760243" w:rsidP="00760243">
      <w:pPr>
        <w:pStyle w:val="Textbody"/>
      </w:pPr>
      <w:r>
        <w:t xml:space="preserve">Najprv ohodnoťme formáty zverejnených </w:t>
      </w:r>
      <w:proofErr w:type="spellStart"/>
      <w:r>
        <w:t>datasetov</w:t>
      </w:r>
      <w:proofErr w:type="spellEnd"/>
      <w:r>
        <w:t xml:space="preserve"> hviezdičkami, podľa dát pre graf 4 (formáty </w:t>
      </w:r>
      <w:proofErr w:type="spellStart"/>
      <w:r>
        <w:t>datasetov</w:t>
      </w:r>
      <w:proofErr w:type="spellEnd"/>
      <w:r>
        <w:t>). Ľahko sa dajú určiť hodnotenia jednou, dvomi, tromi hviezdičkami.</w:t>
      </w:r>
    </w:p>
    <w:p w:rsidR="00760243" w:rsidRDefault="00760243" w:rsidP="00760243">
      <w:pPr>
        <w:pStyle w:val="Textbody"/>
        <w:pageBreakBefore/>
      </w:pPr>
      <w:r>
        <w:rPr>
          <w:noProof/>
          <w:lang w:eastAsia="sk-SK" w:bidi="ar-SA"/>
        </w:rPr>
        <w:lastRenderedPageBreak/>
        <w:drawing>
          <wp:anchor distT="0" distB="0" distL="114300" distR="114300" simplePos="0" relativeHeight="251664384" behindDoc="0" locked="0" layoutInCell="1" allowOverlap="1" wp14:anchorId="0BF546A4" wp14:editId="5BA3BB1F">
            <wp:simplePos x="0" y="0"/>
            <wp:positionH relativeFrom="column">
              <wp:align>center</wp:align>
            </wp:positionH>
            <wp:positionV relativeFrom="paragraph">
              <wp:align>top</wp:align>
            </wp:positionV>
            <wp:extent cx="6120000" cy="3240360"/>
            <wp:effectExtent l="0" t="0" r="0" b="0"/>
            <wp:wrapSquare wrapText="bothSides"/>
            <wp:docPr id="17" name="Objek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t xml:space="preserve">Formát RDF, ktorý poskytuje metadáta ku </w:t>
      </w:r>
      <w:proofErr w:type="spellStart"/>
      <w:r>
        <w:t>datasetu</w:t>
      </w:r>
      <w:proofErr w:type="spellEnd"/>
      <w:r>
        <w:t xml:space="preserve"> je na portáli data.gov.sk len pri 6 </w:t>
      </w:r>
      <w:proofErr w:type="spellStart"/>
      <w:r>
        <w:t>datasetoch</w:t>
      </w:r>
      <w:proofErr w:type="spellEnd"/>
      <w:r>
        <w:t>, čo je zanedbateľne málo. Iné formáty s podobným účelom sa môžu na portáli vyskytovať (takisto v malom počte).</w:t>
      </w:r>
    </w:p>
    <w:p w:rsidR="00760243" w:rsidRDefault="00760243" w:rsidP="00760243">
      <w:pPr>
        <w:pStyle w:val="Textbody"/>
      </w:pPr>
      <w:r>
        <w:t xml:space="preserve">Teraz urobme prienik vhodnej licencie </w:t>
      </w:r>
      <w:proofErr w:type="spellStart"/>
      <w:r>
        <w:t>datasetu</w:t>
      </w:r>
      <w:proofErr w:type="spellEnd"/>
      <w:r>
        <w:t xml:space="preserve"> a vhodného formátu </w:t>
      </w:r>
      <w:proofErr w:type="spellStart"/>
      <w:r>
        <w:t>datasetu</w:t>
      </w:r>
      <w:proofErr w:type="spellEnd"/>
      <w:r>
        <w:t xml:space="preserve">, na základe zoznamu </w:t>
      </w:r>
      <w:proofErr w:type="spellStart"/>
      <w:r>
        <w:t>datasetov</w:t>
      </w:r>
      <w:proofErr w:type="spellEnd"/>
      <w:r>
        <w:t xml:space="preserve"> od prevádzkovateľa (NASES)</w:t>
      </w:r>
      <w:r>
        <w:rPr>
          <w:rStyle w:val="Odkaznapoznmkupodiarou"/>
        </w:rPr>
        <w:footnoteReference w:id="7"/>
      </w:r>
      <w:r>
        <w:t>. Minimálna požadovaná úroveň pre otvorené dáta je úroveň 3 hviezdičiek.</w:t>
      </w: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760243" w:rsidP="00760243">
      <w:pPr>
        <w:pStyle w:val="Textbody"/>
        <w:ind w:firstLine="0"/>
      </w:pPr>
      <w:r>
        <w:rPr>
          <w:noProof/>
          <w:lang w:eastAsia="sk-SK" w:bidi="ar-SA"/>
        </w:rPr>
        <w:lastRenderedPageBreak/>
        <w:drawing>
          <wp:anchor distT="0" distB="0" distL="114300" distR="114300" simplePos="0" relativeHeight="251663360" behindDoc="0" locked="0" layoutInCell="1" allowOverlap="1" wp14:anchorId="334E8149" wp14:editId="65C28C02">
            <wp:simplePos x="0" y="0"/>
            <wp:positionH relativeFrom="column">
              <wp:align>center</wp:align>
            </wp:positionH>
            <wp:positionV relativeFrom="paragraph">
              <wp:align>top</wp:align>
            </wp:positionV>
            <wp:extent cx="5400720" cy="3240360"/>
            <wp:effectExtent l="38100" t="0" r="0" b="0"/>
            <wp:wrapSquare wrapText="bothSides"/>
            <wp:docPr id="18" name="Objek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1768C5">
        <w:t xml:space="preserve">                                                                                                                                                   </w:t>
      </w: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1768C5" w:rsidRDefault="001768C5" w:rsidP="00760243">
      <w:pPr>
        <w:pStyle w:val="Textbody"/>
        <w:ind w:firstLine="0"/>
      </w:pPr>
    </w:p>
    <w:p w:rsidR="00760243" w:rsidRDefault="00760243" w:rsidP="00760243">
      <w:pPr>
        <w:pStyle w:val="Textbody"/>
        <w:ind w:firstLine="0"/>
      </w:pPr>
      <w:r>
        <w:t>Za vhodné licencie považujeme: CC0, CC-BY, CC-BY-SA, ODC-BY, GNU FDL, iné otvorené. Za vhodné formáty považujeme: CSV, XML, HTML, XHTML, JSON, RDF.</w:t>
      </w:r>
    </w:p>
    <w:p w:rsidR="00760243" w:rsidRDefault="00760243" w:rsidP="00760243">
      <w:pPr>
        <w:pStyle w:val="Textbody"/>
      </w:pPr>
      <w:r>
        <w:t xml:space="preserve">Úroveň 4 hviezdičiek spĺňajú tie </w:t>
      </w:r>
      <w:proofErr w:type="spellStart"/>
      <w:r>
        <w:t>datasety</w:t>
      </w:r>
      <w:proofErr w:type="spellEnd"/>
      <w:r>
        <w:t>, ktoré majú 3 hviezdičky a obsahujú aj metadáta a </w:t>
      </w:r>
      <w:proofErr w:type="spellStart"/>
      <w:r>
        <w:t>referencovateľný</w:t>
      </w:r>
      <w:proofErr w:type="spellEnd"/>
      <w:r>
        <w:t xml:space="preserve"> identifikátor (permanentná URI/URL adresa). Predpokladáme, že </w:t>
      </w:r>
      <w:proofErr w:type="spellStart"/>
      <w:r>
        <w:t>datasety</w:t>
      </w:r>
      <w:proofErr w:type="spellEnd"/>
      <w:r>
        <w:t xml:space="preserve"> na portáli data.gov.sk sú určené na trvalé zverejnenie, pričom portál poskytuje ku každému </w:t>
      </w:r>
      <w:proofErr w:type="spellStart"/>
      <w:r>
        <w:t>datasetu</w:t>
      </w:r>
      <w:proofErr w:type="spellEnd"/>
      <w:r>
        <w:t xml:space="preserve"> permanentnú URI/URL adresu, takže možno nepriamo usúdiť, že </w:t>
      </w:r>
      <w:proofErr w:type="spellStart"/>
      <w:r>
        <w:t>datasety</w:t>
      </w:r>
      <w:proofErr w:type="spellEnd"/>
      <w:r>
        <w:t xml:space="preserve"> z grafu 10, ktoré majú 3 hviezdičky (58 %), majú potom 4 hviezdičky. Úroveň 5 hviezdičiek spĺňajú tie </w:t>
      </w:r>
      <w:proofErr w:type="spellStart"/>
      <w:r>
        <w:t>datasety</w:t>
      </w:r>
      <w:proofErr w:type="spellEnd"/>
      <w:r>
        <w:t xml:space="preserve">, ktoré majú 4 hviezdičky a obsahujú v dátach prepojenia </w:t>
      </w:r>
      <w:proofErr w:type="spellStart"/>
      <w:r>
        <w:t>referencovateľnými</w:t>
      </w:r>
      <w:proofErr w:type="spellEnd"/>
      <w:r>
        <w:t xml:space="preserve"> identifikátormi na iné </w:t>
      </w:r>
      <w:proofErr w:type="spellStart"/>
      <w:r>
        <w:t>datasety</w:t>
      </w:r>
      <w:proofErr w:type="spellEnd"/>
      <w:r>
        <w:t xml:space="preserve">. Toto nevieme dostatočne rýchlo vyhodnotiť z dostupných informácií o </w:t>
      </w:r>
      <w:proofErr w:type="spellStart"/>
      <w:r>
        <w:t>datasetoch</w:t>
      </w:r>
      <w:proofErr w:type="spellEnd"/>
      <w:r>
        <w:t>.</w:t>
      </w:r>
    </w:p>
    <w:p w:rsidR="00760243" w:rsidRDefault="00760243" w:rsidP="00760243">
      <w:pPr>
        <w:pStyle w:val="Textbody"/>
      </w:pPr>
      <w:r>
        <w:t xml:space="preserve">Séria 6 </w:t>
      </w:r>
      <w:proofErr w:type="spellStart"/>
      <w:r>
        <w:t>datasetov</w:t>
      </w:r>
      <w:proofErr w:type="spellEnd"/>
      <w:r>
        <w:t xml:space="preserve"> od Ministerstva životného prostredia SR alebo jeho podriadených organizácií je dobrým príkladom 5-hviezdičkových </w:t>
      </w:r>
      <w:proofErr w:type="spellStart"/>
      <w:r>
        <w:t>datasetov</w:t>
      </w:r>
      <w:proofErr w:type="spellEnd"/>
      <w:r>
        <w:t xml:space="preserve">. Sú zverejnené s licenciou CC-BY, vo formáte RDF a sú prepojené, čo je navyše indikované </w:t>
      </w:r>
      <w:proofErr w:type="spellStart"/>
      <w:r>
        <w:t>tagom</w:t>
      </w:r>
      <w:proofErr w:type="spellEnd"/>
      <w:r>
        <w:t xml:space="preserve"> </w:t>
      </w:r>
      <w:proofErr w:type="spellStart"/>
      <w:r>
        <w:rPr>
          <w:i/>
          <w:iCs/>
        </w:rPr>
        <w:t>Linked</w:t>
      </w:r>
      <w:proofErr w:type="spellEnd"/>
      <w:r>
        <w:rPr>
          <w:i/>
          <w:iCs/>
        </w:rPr>
        <w:t xml:space="preserve"> </w:t>
      </w:r>
      <w:proofErr w:type="spellStart"/>
      <w:r>
        <w:rPr>
          <w:i/>
          <w:iCs/>
        </w:rPr>
        <w:t>Data</w:t>
      </w:r>
      <w:proofErr w:type="spellEnd"/>
      <w:r>
        <w:t>.</w:t>
      </w:r>
    </w:p>
    <w:p w:rsidR="00760243" w:rsidRDefault="00760243" w:rsidP="00760243">
      <w:pPr>
        <w:pStyle w:val="Nadpis2"/>
      </w:pPr>
      <w:bookmarkStart w:id="12" w:name="__RefHeading___Toc1040_2396483536"/>
      <w:proofErr w:type="spellStart"/>
      <w:r>
        <w:t>Global</w:t>
      </w:r>
      <w:proofErr w:type="spellEnd"/>
      <w:r>
        <w:t xml:space="preserve"> </w:t>
      </w:r>
      <w:proofErr w:type="spellStart"/>
      <w:r>
        <w:t>open</w:t>
      </w:r>
      <w:proofErr w:type="spellEnd"/>
      <w:r>
        <w:t xml:space="preserve"> </w:t>
      </w:r>
      <w:proofErr w:type="spellStart"/>
      <w:r>
        <w:t>data</w:t>
      </w:r>
      <w:proofErr w:type="spellEnd"/>
      <w:r>
        <w:t xml:space="preserve"> index</w:t>
      </w:r>
      <w:bookmarkEnd w:id="12"/>
    </w:p>
    <w:p w:rsidR="00760243" w:rsidRDefault="00760243" w:rsidP="00760243">
      <w:pPr>
        <w:pStyle w:val="Textbody"/>
      </w:pPr>
      <w:hyperlink r:id="rId47" w:history="1">
        <w:r>
          <w:t>https://index.okfn.org</w:t>
        </w:r>
      </w:hyperlink>
    </w:p>
    <w:p w:rsidR="00760243" w:rsidRDefault="00760243" w:rsidP="00760243">
      <w:pPr>
        <w:pStyle w:val="Textbody"/>
      </w:pPr>
      <w:r>
        <w:t xml:space="preserve">Slovensko sa umiestnilo v poslednom sledovanom období 2016-2017 na 32. mieste so 47 % v rebríčku 94 sledovaných štátov (Taiwan na 1. mieste s 90 %). Metodika je založená na technickej a právnej otvorenosti vybraných </w:t>
      </w:r>
      <w:proofErr w:type="spellStart"/>
      <w:r>
        <w:t>datasetov</w:t>
      </w:r>
      <w:proofErr w:type="spellEnd"/>
      <w:r>
        <w:t xml:space="preserve"> v oblastiach: štátny rozpočet, národné štatistiky, verejné obstarávanie, národná legislatíva, katastrálne údaje, legislatívne návrhy, kvalita ovzdušia, národné mapy, obchodný register, výsledky volieb, lokality, kvalita vody, vládne výdavky, vlastníctvo pôdy. Slovensko zaznamenalo zlepšenie oproti roku 2015, kedy bolo na 50. mieste s 35 %. Slovensko má výborné hodnotenie z národných štatistík, verejného obstarávania, lokalít; zlé hodnotenie z národných máp, výsledkov volieb, kvality vody, vládnych výdavkov.</w:t>
      </w:r>
    </w:p>
    <w:p w:rsidR="00760243" w:rsidRDefault="00760243" w:rsidP="00760243">
      <w:pPr>
        <w:pStyle w:val="Nadpis2"/>
      </w:pPr>
      <w:bookmarkStart w:id="13" w:name="__RefHeading___Toc1042_2396483536"/>
      <w:proofErr w:type="spellStart"/>
      <w:r>
        <w:t>Open</w:t>
      </w:r>
      <w:proofErr w:type="spellEnd"/>
      <w:r>
        <w:t xml:space="preserve"> </w:t>
      </w:r>
      <w:proofErr w:type="spellStart"/>
      <w:r>
        <w:t>data</w:t>
      </w:r>
      <w:proofErr w:type="spellEnd"/>
      <w:r>
        <w:t xml:space="preserve"> barometer</w:t>
      </w:r>
      <w:bookmarkEnd w:id="13"/>
    </w:p>
    <w:p w:rsidR="00760243" w:rsidRDefault="00760243" w:rsidP="00760243">
      <w:pPr>
        <w:pStyle w:val="Textbody"/>
      </w:pPr>
      <w:hyperlink r:id="rId48" w:history="1">
        <w:r>
          <w:t>https://opendatabarometer.org</w:t>
        </w:r>
      </w:hyperlink>
    </w:p>
    <w:p w:rsidR="00760243" w:rsidRDefault="00760243" w:rsidP="00760243">
      <w:pPr>
        <w:pStyle w:val="Textbody"/>
      </w:pPr>
      <w:r>
        <w:lastRenderedPageBreak/>
        <w:t>Slovensko nie je zaradené do rebríčka v poslednom sledovanom období 2017. V predchádzajúcom období 2016 sa nezobrazujú dáta. V období 2015 sa Slovensko umiestnilo na 36. mieste s 37,16 bodmi zo 100 v rebríčku 92 štátov (Spojené kráľovstvo na 1. mieste so 100 bodmi).</w:t>
      </w:r>
    </w:p>
    <w:p w:rsidR="00760243" w:rsidRDefault="00760243" w:rsidP="00760243">
      <w:pPr>
        <w:pStyle w:val="Nadpis2"/>
      </w:pPr>
      <w:bookmarkStart w:id="14" w:name="__RefHeading___Toc1046_2396483536"/>
      <w:proofErr w:type="spellStart"/>
      <w:r>
        <w:t>Open</w:t>
      </w:r>
      <w:proofErr w:type="spellEnd"/>
      <w:r>
        <w:t xml:space="preserve"> </w:t>
      </w:r>
      <w:proofErr w:type="spellStart"/>
      <w:r>
        <w:t>data</w:t>
      </w:r>
      <w:proofErr w:type="spellEnd"/>
      <w:r>
        <w:t xml:space="preserve"> maturity index</w:t>
      </w:r>
      <w:bookmarkEnd w:id="14"/>
    </w:p>
    <w:p w:rsidR="00760243" w:rsidRDefault="00760243" w:rsidP="00760243">
      <w:pPr>
        <w:pStyle w:val="Textbody"/>
      </w:pPr>
      <w:hyperlink r:id="rId49" w:history="1">
        <w:r>
          <w:t>https://www.europeandataportal.eu</w:t>
        </w:r>
      </w:hyperlink>
    </w:p>
    <w:p w:rsidR="00760243" w:rsidRDefault="00760243" w:rsidP="00760243">
      <w:pPr>
        <w:pStyle w:val="Textbody"/>
      </w:pPr>
      <w:r>
        <w:t>Slovensko sa umiestnilo v poslednom sledovanom období 2018</w:t>
      </w:r>
      <w:r>
        <w:rPr>
          <w:rStyle w:val="Odkaznapoznmkupodiarou"/>
        </w:rPr>
        <w:footnoteReference w:id="8"/>
      </w:r>
      <w:r>
        <w:t xml:space="preserve"> na 9. mieste so 74 % v rebríčku 31 sledovaných európskych štátov (Írsko na 1. mieste s 88 %). Metodika je založená na posúdení 4 dimenzií otvorených dát: politika, portál, kvalita, dopad. Aj v roku 2019 bolo Slovensko na 9. mieste.</w:t>
      </w:r>
    </w:p>
    <w:p w:rsidR="00760243" w:rsidRDefault="00760243" w:rsidP="00760243">
      <w:pPr>
        <w:pStyle w:val="Nadpis2"/>
      </w:pPr>
      <w:bookmarkStart w:id="15" w:name="__RefHeading___Toc1760_1471978651"/>
      <w:r>
        <w:t>Nástroje</w:t>
      </w:r>
      <w:bookmarkEnd w:id="15"/>
    </w:p>
    <w:p w:rsidR="00760243" w:rsidRDefault="00760243" w:rsidP="00760243">
      <w:pPr>
        <w:pStyle w:val="Textbody"/>
      </w:pPr>
      <w:r>
        <w:t>Na portáli data.gov.sk v záložke Nástroje je dostupný iba 1 nástroj:</w:t>
      </w:r>
    </w:p>
    <w:p w:rsidR="00760243" w:rsidRDefault="00760243" w:rsidP="00760243">
      <w:pPr>
        <w:pStyle w:val="Textbody"/>
        <w:rPr>
          <w:b/>
          <w:bCs/>
        </w:rPr>
      </w:pPr>
      <w:r>
        <w:rPr>
          <w:b/>
          <w:bCs/>
        </w:rPr>
        <w:t>SPARQL editor</w:t>
      </w:r>
    </w:p>
    <w:p w:rsidR="00760243" w:rsidRDefault="00760243" w:rsidP="00760243">
      <w:pPr>
        <w:pStyle w:val="Textbody"/>
        <w:ind w:firstLine="0"/>
        <w:rPr>
          <w:b/>
          <w:bCs/>
        </w:rPr>
      </w:pPr>
      <w:r>
        <w:t xml:space="preserve">Tento nástroj slúži na vytváranie dopytov v jazyku </w:t>
      </w:r>
      <w:r>
        <w:rPr>
          <w:lang w:val="en-US"/>
        </w:rPr>
        <w:t>SPARQL (</w:t>
      </w:r>
      <w:r>
        <w:rPr>
          <w:i/>
          <w:iCs/>
          <w:lang w:val="en-US"/>
        </w:rPr>
        <w:t>SPARQL protocol and RDF query language</w:t>
      </w:r>
      <w:r>
        <w:rPr>
          <w:lang w:val="en-US"/>
        </w:rPr>
        <w:t>)</w:t>
      </w:r>
      <w:r>
        <w:t xml:space="preserve"> a prezentáciu získaných dát priamo vo webovom prehliadači. SPARQL slúži na prácu s RDF (</w:t>
      </w:r>
      <w:r>
        <w:rPr>
          <w:i/>
          <w:iCs/>
          <w:lang w:val="en-US"/>
        </w:rPr>
        <w:t>resource description framework</w:t>
      </w:r>
      <w:r>
        <w:t xml:space="preserve">) dátami, čo sú metadáta ku zverejneným </w:t>
      </w:r>
      <w:proofErr w:type="spellStart"/>
      <w:r>
        <w:t>datasetom</w:t>
      </w:r>
      <w:proofErr w:type="spellEnd"/>
      <w:r>
        <w:t>.</w:t>
      </w:r>
    </w:p>
    <w:p w:rsidR="00760243" w:rsidRDefault="00760243" w:rsidP="00760243">
      <w:pPr>
        <w:pStyle w:val="Nadpis2"/>
      </w:pPr>
      <w:bookmarkStart w:id="16" w:name="__RefHeading___Toc1762_1471978651"/>
      <w:r>
        <w:t>Aplikácie</w:t>
      </w:r>
      <w:bookmarkEnd w:id="16"/>
    </w:p>
    <w:p w:rsidR="00760243" w:rsidRDefault="00760243" w:rsidP="00760243">
      <w:pPr>
        <w:pStyle w:val="Textbody"/>
      </w:pPr>
      <w:r>
        <w:t>Na portáli data.gov.sk v záložke Aplikácie sú dostupné 4 aplikácie (1 nová z  roku 2019):</w:t>
      </w:r>
    </w:p>
    <w:p w:rsidR="00760243" w:rsidRDefault="00760243" w:rsidP="00760243">
      <w:pPr>
        <w:pStyle w:val="Textbody"/>
      </w:pPr>
      <w:r>
        <w:rPr>
          <w:b/>
          <w:bCs/>
        </w:rPr>
        <w:t>Aktuálne údaje centrálnej technickej evidencie ciest (Mapy CDB)</w:t>
      </w:r>
    </w:p>
    <w:p w:rsidR="00760243" w:rsidRDefault="00760243" w:rsidP="00760243">
      <w:pPr>
        <w:pStyle w:val="Textbody"/>
        <w:ind w:firstLine="0"/>
      </w:pPr>
      <w:r>
        <w:t>Aplikácia sprístupňuje aktuálne údaje centrálnej technickej evidencie ciest.</w:t>
      </w:r>
    </w:p>
    <w:p w:rsidR="00760243" w:rsidRDefault="00760243" w:rsidP="00760243">
      <w:pPr>
        <w:pStyle w:val="Textbody"/>
        <w:ind w:firstLine="0"/>
      </w:pPr>
      <w:r>
        <w:t xml:space="preserve">Slovenská správa ciest, 2019, </w:t>
      </w:r>
      <w:hyperlink r:id="rId50" w:history="1">
        <w:r>
          <w:t>https://ismcs.cdb.sk/portal/mapviewer</w:t>
        </w:r>
      </w:hyperlink>
    </w:p>
    <w:p w:rsidR="00760243" w:rsidRDefault="00760243" w:rsidP="00760243">
      <w:pPr>
        <w:pStyle w:val="Textbody"/>
        <w:rPr>
          <w:b/>
          <w:bCs/>
        </w:rPr>
      </w:pPr>
      <w:r>
        <w:rPr>
          <w:b/>
          <w:bCs/>
        </w:rPr>
        <w:t>Notifikátor výberových konaní</w:t>
      </w:r>
    </w:p>
    <w:p w:rsidR="00760243" w:rsidRDefault="00760243" w:rsidP="00760243">
      <w:pPr>
        <w:pStyle w:val="Textbody"/>
        <w:ind w:firstLine="0"/>
      </w:pPr>
      <w:r>
        <w:t xml:space="preserve">E-mailové notifikácie pre novo-vyhlásené výberové konania z portálu </w:t>
      </w:r>
      <w:hyperlink r:id="rId51" w:history="1">
        <w:r>
          <w:t>https://</w:t>
        </w:r>
      </w:hyperlink>
      <w:hyperlink r:id="rId52" w:history="1">
        <w:r>
          <w:t>open.slovensko.sk</w:t>
        </w:r>
      </w:hyperlink>
      <w:r>
        <w:t>.</w:t>
      </w:r>
    </w:p>
    <w:p w:rsidR="00760243" w:rsidRDefault="00760243" w:rsidP="00760243">
      <w:pPr>
        <w:pStyle w:val="Textbody"/>
        <w:ind w:firstLine="0"/>
        <w:jc w:val="left"/>
      </w:pPr>
      <w:r>
        <w:t xml:space="preserve">Projekt Výsledky a štatistiky verejného obstarávania a vizualizácia dát, 2017, </w:t>
      </w:r>
      <w:hyperlink r:id="rId53" w:history="1">
        <w:r>
          <w:t>https://www.uvostat.sk/vyberovekonania</w:t>
        </w:r>
      </w:hyperlink>
    </w:p>
    <w:p w:rsidR="00760243" w:rsidRDefault="00760243" w:rsidP="00760243">
      <w:pPr>
        <w:pStyle w:val="Textbody"/>
        <w:rPr>
          <w:b/>
          <w:bCs/>
        </w:rPr>
      </w:pPr>
      <w:proofErr w:type="spellStart"/>
      <w:r>
        <w:rPr>
          <w:b/>
          <w:bCs/>
        </w:rPr>
        <w:t>OpenSpending</w:t>
      </w:r>
      <w:proofErr w:type="spellEnd"/>
      <w:r>
        <w:rPr>
          <w:b/>
          <w:bCs/>
        </w:rPr>
        <w:t xml:space="preserve"> mesto Prešov</w:t>
      </w:r>
    </w:p>
    <w:p w:rsidR="00760243" w:rsidRDefault="00760243" w:rsidP="00760243">
      <w:pPr>
        <w:pStyle w:val="Textbody"/>
        <w:ind w:firstLine="0"/>
      </w:pPr>
      <w:r>
        <w:t>Aplikácia na vyhľadávanie, vizualizáciu a analýzu rozpočtových údajov miest (Prešov a iných).</w:t>
      </w:r>
    </w:p>
    <w:p w:rsidR="00760243" w:rsidRDefault="00760243" w:rsidP="00760243">
      <w:pPr>
        <w:pStyle w:val="Textbody"/>
        <w:ind w:firstLine="0"/>
        <w:jc w:val="left"/>
      </w:pPr>
      <w:r>
        <w:rPr>
          <w:lang w:val="en-US"/>
        </w:rPr>
        <w:t>Open knowledge foundation</w:t>
      </w:r>
      <w:r>
        <w:t xml:space="preserve">, 2017, </w:t>
      </w:r>
      <w:hyperlink r:id="rId54" w:history="1">
        <w:r>
          <w:t>https://openspending.org/viewer/</w:t>
        </w:r>
      </w:hyperlink>
      <w:hyperlink r:id="rId55" w:history="1">
        <w:r>
          <w:br/>
          <w:t>1ae301d0fb4</w:t>
        </w:r>
      </w:hyperlink>
      <w:hyperlink r:id="rId56" w:history="1">
        <w:r>
          <w:t>c5bd535ce8e2eadf7a668:</w:t>
        </w:r>
      </w:hyperlink>
      <w:hyperlink r:id="rId57" w:history="1">
        <w:r>
          <w:t>presov.sk-program-budget-2016?lang=en</w:t>
        </w:r>
      </w:hyperlink>
    </w:p>
    <w:p w:rsidR="00760243" w:rsidRDefault="00760243" w:rsidP="00760243">
      <w:pPr>
        <w:pStyle w:val="Textbody"/>
        <w:rPr>
          <w:b/>
          <w:bCs/>
        </w:rPr>
      </w:pPr>
      <w:r>
        <w:rPr>
          <w:b/>
          <w:bCs/>
        </w:rPr>
        <w:t>Revízia základných sídelných jednotiek</w:t>
      </w:r>
    </w:p>
    <w:p w:rsidR="00760243" w:rsidRDefault="00760243" w:rsidP="00760243">
      <w:pPr>
        <w:pStyle w:val="Textbody"/>
        <w:ind w:firstLine="0"/>
      </w:pPr>
      <w:r>
        <w:t>Aplikácia pre podporu prípravy podkladov pre sčítanie obyvateľstva, domov a bytov.</w:t>
      </w:r>
    </w:p>
    <w:p w:rsidR="00760243" w:rsidRDefault="00760243" w:rsidP="00760243">
      <w:pPr>
        <w:pStyle w:val="Textbody"/>
        <w:ind w:firstLine="0"/>
      </w:pPr>
      <w:r>
        <w:t xml:space="preserve">Slovenská agentúra životného prostredia, 2016, </w:t>
      </w:r>
      <w:hyperlink r:id="rId58" w:history="1">
        <w:r>
          <w:t>http://rzsj.enviroportal.sk/mapov-zobrazenie</w:t>
        </w:r>
      </w:hyperlink>
    </w:p>
    <w:p w:rsidR="00760243" w:rsidRDefault="00760243" w:rsidP="00760243">
      <w:pPr>
        <w:pStyle w:val="Nadpis2"/>
      </w:pPr>
      <w:bookmarkStart w:id="17" w:name="__RefHeading___Toc1764_1471978651"/>
      <w:r>
        <w:lastRenderedPageBreak/>
        <w:t xml:space="preserve">Užitočnosť </w:t>
      </w:r>
      <w:proofErr w:type="spellStart"/>
      <w:r>
        <w:t>datasetu</w:t>
      </w:r>
      <w:bookmarkEnd w:id="17"/>
      <w:proofErr w:type="spellEnd"/>
    </w:p>
    <w:p w:rsidR="00760243" w:rsidRDefault="00760243" w:rsidP="00760243">
      <w:pPr>
        <w:pStyle w:val="Textbody"/>
      </w:pPr>
      <w:r>
        <w:t xml:space="preserve">Prieskum dopytu verejnosti po najžiadanejších </w:t>
      </w:r>
      <w:proofErr w:type="spellStart"/>
      <w:r>
        <w:t>datasetoch</w:t>
      </w:r>
      <w:proofErr w:type="spellEnd"/>
      <w:r>
        <w:t xml:space="preserve"> sa vykonáva každoročne. Výsledky prieskumu sa však stali dlhodobým prehľadom najžiadanejších </w:t>
      </w:r>
      <w:proofErr w:type="spellStart"/>
      <w:r>
        <w:t>datasetov</w:t>
      </w:r>
      <w:proofErr w:type="spellEnd"/>
      <w:r>
        <w:rPr>
          <w:rStyle w:val="Odkaznapoznmkupodiarou"/>
        </w:rPr>
        <w:footnoteReference w:id="9"/>
      </w:r>
      <w:r>
        <w:t>, pretože v </w:t>
      </w:r>
      <w:r>
        <w:rPr>
          <w:i/>
          <w:iCs/>
        </w:rPr>
        <w:t>Strednodobej hodnotiacej správe Akčného plánu Iniciatívy pre otvorené vládnutie v Slovenskej republike na roky 2017 – 2019</w:t>
      </w:r>
      <w:r>
        <w:rPr>
          <w:rStyle w:val="Odkaznapoznmkupodiarou"/>
        </w:rPr>
        <w:footnoteReference w:id="10"/>
      </w:r>
      <w:r>
        <w:t xml:space="preserve"> (str. 19) sa píše, že množstvo </w:t>
      </w:r>
      <w:proofErr w:type="spellStart"/>
      <w:r>
        <w:t>datasetov</w:t>
      </w:r>
      <w:proofErr w:type="spellEnd"/>
      <w:r>
        <w:t xml:space="preserve">, ktoré boli požadované v roku 2017, nie je zverejnených k 31.07.2018. Zo žiadaných </w:t>
      </w:r>
      <w:proofErr w:type="spellStart"/>
      <w:r>
        <w:t>datasetov</w:t>
      </w:r>
      <w:proofErr w:type="spellEnd"/>
      <w:r>
        <w:t>, ktoré zatiaľ neboli zverejnené vyberáme napr.:</w:t>
      </w:r>
    </w:p>
    <w:p w:rsidR="00760243" w:rsidRDefault="00760243" w:rsidP="00760243">
      <w:pPr>
        <w:pStyle w:val="Textbody"/>
        <w:numPr>
          <w:ilvl w:val="0"/>
          <w:numId w:val="4"/>
        </w:numPr>
      </w:pPr>
      <w:r>
        <w:t>Cestovné poriadky verejnej dopravy, aktuálne polohy vozidiel a aktuálne informácie o verejnej doprave, štatistika vyťaženosti, zoznamy zastávok a staníc: MHD, autobusy, vlaky (Ministerstvo dopravy a výstavby SR)</w:t>
      </w:r>
    </w:p>
    <w:p w:rsidR="00760243" w:rsidRDefault="00760243" w:rsidP="00760243">
      <w:pPr>
        <w:pStyle w:val="Textbody"/>
        <w:numPr>
          <w:ilvl w:val="0"/>
          <w:numId w:val="4"/>
        </w:numPr>
      </w:pPr>
      <w:r>
        <w:t>Legislatíva v strojovo spracovateľnom formáte, právne predpisy a návrhy právnych predpisov v strojovo spracovateľnom formáte (Ministerstvo spravodlivosti SR)</w:t>
      </w:r>
    </w:p>
    <w:p w:rsidR="00760243" w:rsidRDefault="00760243" w:rsidP="00760243">
      <w:pPr>
        <w:pStyle w:val="Textbody"/>
        <w:numPr>
          <w:ilvl w:val="0"/>
          <w:numId w:val="4"/>
        </w:numPr>
      </w:pPr>
      <w:r>
        <w:t>Rozpočty štátnych podnikov, verejnej správy, územnej samosprávy (Ministerstvo financií SR)</w:t>
      </w:r>
    </w:p>
    <w:p w:rsidR="00760243" w:rsidRDefault="00760243" w:rsidP="00760243">
      <w:pPr>
        <w:pStyle w:val="Textbody"/>
        <w:numPr>
          <w:ilvl w:val="0"/>
          <w:numId w:val="4"/>
        </w:numPr>
      </w:pPr>
      <w:r>
        <w:t>Živnostenský register (Ministerstvo vnútra)</w:t>
      </w:r>
    </w:p>
    <w:p w:rsidR="00760243" w:rsidRDefault="00760243" w:rsidP="00760243">
      <w:pPr>
        <w:pStyle w:val="Textbody"/>
        <w:numPr>
          <w:ilvl w:val="0"/>
          <w:numId w:val="4"/>
        </w:numPr>
      </w:pPr>
      <w:r>
        <w:t>Zoznam štátnych budov, otváracie hodiny, telefónne čísla (Úrad vlády SR)</w:t>
      </w:r>
    </w:p>
    <w:p w:rsidR="00760243" w:rsidRDefault="00760243" w:rsidP="00760243">
      <w:pPr>
        <w:pStyle w:val="Textbody"/>
        <w:numPr>
          <w:ilvl w:val="0"/>
          <w:numId w:val="4"/>
        </w:numPr>
      </w:pPr>
      <w:r>
        <w:t>Katastrálne mapy, kataster, listy vlastníctva (Úrad geodézie, kartografie a katastra SR)</w:t>
      </w:r>
    </w:p>
    <w:p w:rsidR="00760243" w:rsidRDefault="00760243" w:rsidP="00760243">
      <w:pPr>
        <w:pStyle w:val="Textbody"/>
        <w:numPr>
          <w:ilvl w:val="0"/>
          <w:numId w:val="4"/>
        </w:numPr>
      </w:pPr>
      <w:r>
        <w:t>Zoznam vrcholov, zoznam minerálnych prameňov, zoznam riek, dáta o znečistení životného prostredia, SHMÚ dáta (Ministerstvo životného prostredia SR)</w:t>
      </w:r>
    </w:p>
    <w:p w:rsidR="00760243" w:rsidRDefault="00760243" w:rsidP="00760243">
      <w:pPr>
        <w:pStyle w:val="Textbody"/>
        <w:ind w:firstLine="0"/>
      </w:pPr>
      <w:r>
        <w:t xml:space="preserve">Zverejnenie niektorých </w:t>
      </w:r>
      <w:proofErr w:type="spellStart"/>
      <w:r>
        <w:t>datasetov</w:t>
      </w:r>
      <w:proofErr w:type="spellEnd"/>
      <w:r>
        <w:t xml:space="preserve"> je aspoň naplánované na najbližšie obdobie.</w:t>
      </w:r>
    </w:p>
    <w:p w:rsidR="00760243" w:rsidRDefault="00760243" w:rsidP="00760243">
      <w:pPr>
        <w:pStyle w:val="Textbody"/>
      </w:pPr>
      <w:r>
        <w:t xml:space="preserve">Pri najžiadanejších </w:t>
      </w:r>
      <w:proofErr w:type="spellStart"/>
      <w:r>
        <w:t>datasetoch</w:t>
      </w:r>
      <w:proofErr w:type="spellEnd"/>
      <w:r>
        <w:t xml:space="preserve"> vyžiadaných verejnosťou v prieskume dopytu verejnosti po najžiadanejších </w:t>
      </w:r>
      <w:proofErr w:type="spellStart"/>
      <w:r>
        <w:t>datasetoch</w:t>
      </w:r>
      <w:proofErr w:type="spellEnd"/>
      <w:r>
        <w:t xml:space="preserve"> predpokladáme, že užitočnosť takého </w:t>
      </w:r>
      <w:proofErr w:type="spellStart"/>
      <w:r>
        <w:t>datasetu</w:t>
      </w:r>
      <w:proofErr w:type="spellEnd"/>
      <w:r>
        <w:t xml:space="preserve"> je objektívne vysoká. Zverejnené sú aj </w:t>
      </w:r>
      <w:proofErr w:type="spellStart"/>
      <w:r>
        <w:t>datasety</w:t>
      </w:r>
      <w:proofErr w:type="spellEnd"/>
      <w:r>
        <w:t xml:space="preserve"> (konkrétne dáta v </w:t>
      </w:r>
      <w:proofErr w:type="spellStart"/>
      <w:r>
        <w:t>datasetoch</w:t>
      </w:r>
      <w:proofErr w:type="spellEnd"/>
      <w:r>
        <w:t xml:space="preserve">) s nízkou užitočnosťou, zrejme preto, že povinná osoba (organizácia) má povinnosť zverejniť taký </w:t>
      </w:r>
      <w:proofErr w:type="spellStart"/>
      <w:r>
        <w:t>dataset</w:t>
      </w:r>
      <w:proofErr w:type="spellEnd"/>
      <w:r>
        <w:t xml:space="preserve">, ale nie je s tým stotožnená (jej zodpovedný pracovník) a kontrola je len formálna, či bol </w:t>
      </w:r>
      <w:proofErr w:type="spellStart"/>
      <w:r>
        <w:t>dataset</w:t>
      </w:r>
      <w:proofErr w:type="spellEnd"/>
      <w:r>
        <w:t xml:space="preserve"> zverejnený. Jeden príklad: </w:t>
      </w:r>
      <w:r>
        <w:rPr>
          <w:i/>
          <w:iCs/>
        </w:rPr>
        <w:t>Zoznam využívaného otvoreného softvéru v gescii MŠVVaŠ SR</w:t>
      </w:r>
      <w:r>
        <w:rPr>
          <w:rStyle w:val="Odkaznapoznmkupodiarou"/>
        </w:rPr>
        <w:footnoteReference w:id="11"/>
      </w:r>
      <w:r>
        <w:t xml:space="preserve">. </w:t>
      </w:r>
      <w:proofErr w:type="spellStart"/>
      <w:r>
        <w:t>Dataset</w:t>
      </w:r>
      <w:proofErr w:type="spellEnd"/>
      <w:r>
        <w:t xml:space="preserve"> je 2-hviezdičkový (licencia CC0, formát XLSX). Je aktualizovaný 28.7.2017 (viac ako 1 rok starý), pričom dáta v tomto </w:t>
      </w:r>
      <w:proofErr w:type="spellStart"/>
      <w:r>
        <w:t>datasete</w:t>
      </w:r>
      <w:proofErr w:type="spellEnd"/>
      <w:r>
        <w:t xml:space="preserve"> podliehajú zmenám na mesačnej báze. Pravidelnosť aktualizácie: 1 rok (po termíne). Dáta by mohli byť užitočné, keby ku vymenovanému softvéru bol pridaný počet inštalácií, účel použitia, miesto použitia (sumárne) a podobne. </w:t>
      </w:r>
      <w:proofErr w:type="spellStart"/>
      <w:r>
        <w:t>Dataset</w:t>
      </w:r>
      <w:proofErr w:type="spellEnd"/>
      <w:r>
        <w:t xml:space="preserve"> by mohol byť napr. podkladom pre analýzu hodnoty za peniaze, podľa Národnej koncepcie informatizácie verejnej správy (NKIVS).</w:t>
      </w:r>
    </w:p>
    <w:p w:rsidR="00760243" w:rsidRDefault="00760243" w:rsidP="00760243">
      <w:pPr>
        <w:pStyle w:val="Nadpis1"/>
        <w:pageBreakBefore/>
        <w:numPr>
          <w:ilvl w:val="0"/>
          <w:numId w:val="0"/>
        </w:numPr>
      </w:pPr>
      <w:bookmarkStart w:id="18" w:name="__RefHeading___Toc135_1655535301"/>
      <w:r>
        <w:lastRenderedPageBreak/>
        <w:t>Záver</w:t>
      </w:r>
      <w:bookmarkEnd w:id="18"/>
    </w:p>
    <w:p w:rsidR="00760243" w:rsidRDefault="00760243" w:rsidP="00760243">
      <w:pPr>
        <w:pStyle w:val="Textbody"/>
      </w:pPr>
      <w:r>
        <w:rPr>
          <w:iCs/>
        </w:rPr>
        <w:t xml:space="preserve">Na záver uvádzame </w:t>
      </w:r>
      <w:r>
        <w:rPr>
          <w:b/>
          <w:iCs/>
        </w:rPr>
        <w:t>odporúčania na najbližšie obdobie</w:t>
      </w:r>
      <w:r>
        <w:t>:</w:t>
      </w:r>
    </w:p>
    <w:p w:rsidR="00760243" w:rsidRDefault="00760243" w:rsidP="00760243">
      <w:pPr>
        <w:pStyle w:val="Textbody"/>
        <w:numPr>
          <w:ilvl w:val="0"/>
          <w:numId w:val="5"/>
        </w:numPr>
      </w:pPr>
      <w:bookmarkStart w:id="19" w:name="_GoBack"/>
      <w:bookmarkEnd w:id="19"/>
      <w:r>
        <w:rPr>
          <w:b/>
          <w:iCs/>
        </w:rPr>
        <w:t>Prieskum dopytu verejnosti</w:t>
      </w:r>
      <w:r>
        <w:rPr>
          <w:iCs/>
        </w:rPr>
        <w:t xml:space="preserve"> – pokračovať v prieskume dopytu verejnosti po najžiadanejších </w:t>
      </w:r>
      <w:proofErr w:type="spellStart"/>
      <w:r>
        <w:rPr>
          <w:iCs/>
        </w:rPr>
        <w:t>datasetoch</w:t>
      </w:r>
      <w:proofErr w:type="spellEnd"/>
      <w:r>
        <w:rPr>
          <w:iCs/>
        </w:rPr>
        <w:t xml:space="preserve"> otvorených dát.</w:t>
      </w:r>
    </w:p>
    <w:p w:rsidR="00760243" w:rsidRDefault="00760243" w:rsidP="00760243">
      <w:pPr>
        <w:pStyle w:val="Textbody"/>
        <w:numPr>
          <w:ilvl w:val="0"/>
          <w:numId w:val="5"/>
        </w:numPr>
      </w:pPr>
      <w:r>
        <w:rPr>
          <w:b/>
          <w:iCs/>
        </w:rPr>
        <w:t>Monitorovať a vyhodnocovať zverejnenie dopytu verejnosti</w:t>
      </w:r>
      <w:r>
        <w:rPr>
          <w:iCs/>
        </w:rPr>
        <w:t xml:space="preserve"> po najžiadanejších </w:t>
      </w:r>
      <w:proofErr w:type="spellStart"/>
      <w:r>
        <w:rPr>
          <w:iCs/>
        </w:rPr>
        <w:t>datasetoch</w:t>
      </w:r>
      <w:proofErr w:type="spellEnd"/>
      <w:r>
        <w:rPr>
          <w:iCs/>
        </w:rPr>
        <w:t xml:space="preserve"> orgánov územnej samosprávy.</w:t>
      </w:r>
    </w:p>
    <w:p w:rsidR="00760243" w:rsidRDefault="00760243" w:rsidP="00760243">
      <w:pPr>
        <w:pStyle w:val="Textbody"/>
        <w:numPr>
          <w:ilvl w:val="0"/>
          <w:numId w:val="5"/>
        </w:numPr>
      </w:pPr>
      <w:r>
        <w:rPr>
          <w:b/>
        </w:rPr>
        <w:t xml:space="preserve">Zvýšiť kvalitu </w:t>
      </w:r>
      <w:proofErr w:type="spellStart"/>
      <w:r>
        <w:rPr>
          <w:b/>
        </w:rPr>
        <w:t>datasetov</w:t>
      </w:r>
      <w:proofErr w:type="spellEnd"/>
      <w:r>
        <w:t xml:space="preserve"> – portál data.gov.sk sa už niekoľko rokov postupne plní </w:t>
      </w:r>
      <w:proofErr w:type="spellStart"/>
      <w:r>
        <w:t>datasetmi</w:t>
      </w:r>
      <w:proofErr w:type="spellEnd"/>
      <w:r>
        <w:t xml:space="preserve">. V nasledujúcich rokoch by sme sa mali viac zaujímať o kvalitu </w:t>
      </w:r>
      <w:proofErr w:type="spellStart"/>
      <w:r>
        <w:t>datasetov</w:t>
      </w:r>
      <w:proofErr w:type="spellEnd"/>
      <w:r>
        <w:t>.</w:t>
      </w:r>
    </w:p>
    <w:p w:rsidR="00760243" w:rsidRDefault="00760243" w:rsidP="00760243">
      <w:pPr>
        <w:pStyle w:val="Textbody"/>
        <w:numPr>
          <w:ilvl w:val="0"/>
          <w:numId w:val="5"/>
        </w:numPr>
      </w:pPr>
      <w:r>
        <w:rPr>
          <w:b/>
        </w:rPr>
        <w:t>Rozšírenie záberu dát</w:t>
      </w:r>
      <w:r>
        <w:t xml:space="preserve"> – vzhľadom na hodnotenie otvorených dát hviezdičkami (kap. 2.1), na pripravovanú </w:t>
      </w:r>
      <w:r>
        <w:rPr>
          <w:i/>
          <w:iCs/>
        </w:rPr>
        <w:t>Stratégiu digitálnej transformácie Slovenska 2030</w:t>
      </w:r>
      <w:r>
        <w:rPr>
          <w:rStyle w:val="Odkaznapoznmkupodiarou"/>
        </w:rPr>
        <w:footnoteReference w:id="12"/>
      </w:r>
      <w:r>
        <w:t xml:space="preserve"> a na pripravovaný program </w:t>
      </w:r>
      <w:r>
        <w:rPr>
          <w:i/>
          <w:iCs/>
        </w:rPr>
        <w:t>Digitálna Európa 2021 – 2027</w:t>
      </w:r>
      <w:r>
        <w:rPr>
          <w:rStyle w:val="Odkaznapoznmkupodiarou"/>
        </w:rPr>
        <w:footnoteReference w:id="13"/>
      </w:r>
      <w:r>
        <w:t xml:space="preserve"> je vhodné, aby sa pozornosť venovala týmto témam: </w:t>
      </w:r>
      <w:proofErr w:type="spellStart"/>
      <w:r>
        <w:t>datasety</w:t>
      </w:r>
      <w:proofErr w:type="spellEnd"/>
      <w:r>
        <w:t xml:space="preserve"> samosprávy (obce, mestá, kraje), otvorené prepojené dáta (</w:t>
      </w:r>
      <w:proofErr w:type="spellStart"/>
      <w:r>
        <w:t>interoperabilita</w:t>
      </w:r>
      <w:proofErr w:type="spellEnd"/>
      <w:r>
        <w:t>), otvorené veľké dáta, otvorené dáta a GDPR, súkromie, etika.</w:t>
      </w:r>
    </w:p>
    <w:p w:rsidR="00760243" w:rsidRDefault="00760243" w:rsidP="00760243">
      <w:pPr>
        <w:pStyle w:val="Textbody"/>
        <w:numPr>
          <w:ilvl w:val="0"/>
          <w:numId w:val="5"/>
        </w:numPr>
      </w:pPr>
      <w:r>
        <w:rPr>
          <w:b/>
        </w:rPr>
        <w:t>Otvorené API, otvorené štandardy</w:t>
      </w:r>
      <w:r>
        <w:t xml:space="preserve"> – cieľom zverejňovania otvorených dát ústredných orgánov štátnej správy (aj celej verejnej správy) je zvyšovanie transparentnosti a podpora hospodárstva založeného na dátach. K tomu potrebujeme otvorené API, otvorené štandardy. Preto je vhodné, aby sa ďalej podporovali témy: otvorené API, otvorené štandardy pre </w:t>
      </w:r>
      <w:proofErr w:type="spellStart"/>
      <w:r>
        <w:t>interoperabilitu</w:t>
      </w:r>
      <w:proofErr w:type="spellEnd"/>
      <w:r>
        <w:t>, moje dáta a </w:t>
      </w:r>
      <w:proofErr w:type="spellStart"/>
      <w:r>
        <w:t>interoperabilita</w:t>
      </w:r>
      <w:proofErr w:type="spellEnd"/>
      <w:r>
        <w:t>, inteligentné mesto a internet vecí, otvorený softvér a otvorený hardvér.</w:t>
      </w:r>
    </w:p>
    <w:p w:rsidR="00760243" w:rsidRDefault="00760243" w:rsidP="00760243">
      <w:pPr>
        <w:pStyle w:val="Textbody"/>
        <w:numPr>
          <w:ilvl w:val="0"/>
          <w:numId w:val="5"/>
        </w:numPr>
      </w:pPr>
      <w:r>
        <w:t xml:space="preserve">V novom akčnom pláne by mali byť témy o otvorených dátach previazané aj na kapitolu </w:t>
      </w:r>
      <w:r>
        <w:rPr>
          <w:b/>
          <w:iCs/>
        </w:rPr>
        <w:t>Otvorené vzdelávanie a otvorená veda</w:t>
      </w:r>
      <w:r>
        <w:t>.</w:t>
      </w:r>
    </w:p>
    <w:p w:rsidR="00760243" w:rsidRDefault="00760243" w:rsidP="00760243">
      <w:pPr>
        <w:pStyle w:val="Textbody"/>
      </w:pPr>
    </w:p>
    <w:p w:rsidR="00760243" w:rsidRDefault="00760243" w:rsidP="00760243">
      <w:pPr>
        <w:pStyle w:val="Textbody"/>
        <w:rPr>
          <w:b/>
          <w:bCs/>
        </w:rPr>
      </w:pPr>
      <w:bookmarkStart w:id="20" w:name="__RefHeading___Toc1420_1471978651"/>
      <w:r>
        <w:rPr>
          <w:b/>
          <w:bCs/>
        </w:rPr>
        <w:t>Odporúčania pre prevádzkovateľa portálu data.gov.sk (NASES)</w:t>
      </w:r>
      <w:bookmarkEnd w:id="20"/>
    </w:p>
    <w:p w:rsidR="00760243" w:rsidRDefault="00760243" w:rsidP="00760243">
      <w:pPr>
        <w:pStyle w:val="Textbody"/>
        <w:ind w:firstLine="0"/>
      </w:pPr>
      <w:r>
        <w:t xml:space="preserve">Pri analýze zverejňovania </w:t>
      </w:r>
      <w:proofErr w:type="spellStart"/>
      <w:r>
        <w:t>datasetov</w:t>
      </w:r>
      <w:proofErr w:type="spellEnd"/>
      <w:r>
        <w:t xml:space="preserve"> na portáli otvorených dát (data.gov.sk), ktorého NASES je prevádzkovateľom, sme zaznamenali niekoľko problémov alebo nedostatkov. Pridávame odporúčania, ako ich vyriešiť:</w:t>
      </w:r>
    </w:p>
    <w:p w:rsidR="00760243" w:rsidRDefault="00760243" w:rsidP="00760243">
      <w:pPr>
        <w:pStyle w:val="Textbody"/>
        <w:numPr>
          <w:ilvl w:val="0"/>
          <w:numId w:val="6"/>
        </w:numPr>
      </w:pPr>
      <w:r>
        <w:t xml:space="preserve">Na portáli data.gov.sk v záložke Štatistika na obrázku sa sumárne počty </w:t>
      </w:r>
      <w:proofErr w:type="spellStart"/>
      <w:r>
        <w:t>datasetov</w:t>
      </w:r>
      <w:proofErr w:type="spellEnd"/>
      <w:r>
        <w:t xml:space="preserve"> nezhodujú so skutočným počtom </w:t>
      </w:r>
      <w:proofErr w:type="spellStart"/>
      <w:r>
        <w:t>datasetov</w:t>
      </w:r>
      <w:proofErr w:type="spellEnd"/>
      <w:r>
        <w:t xml:space="preserve"> po kliknutí na daný riadok v obrázku. Zrejme číslo na obrázku nie je aktuálne. Mal by sa zobraziť všade aktuálny stav </w:t>
      </w:r>
      <w:proofErr w:type="spellStart"/>
      <w:r>
        <w:t>datasetov</w:t>
      </w:r>
      <w:proofErr w:type="spellEnd"/>
      <w:r>
        <w:t>.</w:t>
      </w:r>
    </w:p>
    <w:p w:rsidR="00760243" w:rsidRDefault="00760243" w:rsidP="00760243">
      <w:pPr>
        <w:pStyle w:val="Textbody"/>
        <w:numPr>
          <w:ilvl w:val="0"/>
          <w:numId w:val="6"/>
        </w:numPr>
      </w:pPr>
      <w:r>
        <w:t xml:space="preserve">Je užitočné, že portál data.gov.sk zverejňuje </w:t>
      </w:r>
      <w:proofErr w:type="spellStart"/>
      <w:r>
        <w:t>datasety</w:t>
      </w:r>
      <w:proofErr w:type="spellEnd"/>
      <w:r>
        <w:t xml:space="preserve"> od každej organizácie verejnej správy a územnej samosprávy. Avšak bolo by prehľadnejšie, ak by portál data.gov.sk umožňoval zobraziť zoznam ústredných orgánov štátnej správy (ministerstvá a ústredné úrady) a k nim priradené podriadené organizácie. Napríklad Regionálne úrady verejného zdravotníctva priradené k Ministerstvu zdravotníctva SR. Tiež všetky územné samosprávy združiť do jedného zoznamu.</w:t>
      </w:r>
    </w:p>
    <w:p w:rsidR="00760243" w:rsidRDefault="00760243" w:rsidP="00760243">
      <w:pPr>
        <w:pStyle w:val="Textbody"/>
        <w:numPr>
          <w:ilvl w:val="0"/>
          <w:numId w:val="6"/>
        </w:numPr>
      </w:pPr>
      <w:r>
        <w:lastRenderedPageBreak/>
        <w:t xml:space="preserve">Na portáli data.gov.sk sú zverejnené aj </w:t>
      </w:r>
      <w:proofErr w:type="spellStart"/>
      <w:r>
        <w:t>datasety</w:t>
      </w:r>
      <w:proofErr w:type="spellEnd"/>
      <w:r>
        <w:t xml:space="preserve"> bez licencie alebo s nevhodnou, obmedzujúcou licenciou. Bolo by užitočné, keby portál upozornil povinné osoby pri zverejnení </w:t>
      </w:r>
      <w:proofErr w:type="spellStart"/>
      <w:r>
        <w:t>datasetu</w:t>
      </w:r>
      <w:proofErr w:type="spellEnd"/>
      <w:r>
        <w:t xml:space="preserve"> na chýbajúcu alebo nevhodnú licenciu a naviedol povinné osoby vybrať si zo zoznamu vhodných licencií. Ku zverejneným </w:t>
      </w:r>
      <w:proofErr w:type="spellStart"/>
      <w:r>
        <w:t>datasetom</w:t>
      </w:r>
      <w:proofErr w:type="spellEnd"/>
      <w:r>
        <w:t xml:space="preserve"> bez licencie treba doplniť licenciu.</w:t>
      </w:r>
    </w:p>
    <w:p w:rsidR="00760243" w:rsidRDefault="00760243" w:rsidP="00760243">
      <w:pPr>
        <w:pStyle w:val="Textbody"/>
        <w:numPr>
          <w:ilvl w:val="0"/>
          <w:numId w:val="6"/>
        </w:numPr>
      </w:pPr>
      <w:r>
        <w:t xml:space="preserve">Niektoré formáty </w:t>
      </w:r>
      <w:proofErr w:type="spellStart"/>
      <w:r>
        <w:t>datasetov</w:t>
      </w:r>
      <w:proofErr w:type="spellEnd"/>
      <w:r>
        <w:t xml:space="preserve"> zobrazené v štatistike na portáli data.gov.sk nie sú formátmi skutočných </w:t>
      </w:r>
      <w:proofErr w:type="spellStart"/>
      <w:r>
        <w:t>datasetov</w:t>
      </w:r>
      <w:proofErr w:type="spellEnd"/>
      <w:r>
        <w:t>, ale pomocnými súbormi k </w:t>
      </w:r>
      <w:proofErr w:type="spellStart"/>
      <w:r>
        <w:t>datasetom</w:t>
      </w:r>
      <w:proofErr w:type="spellEnd"/>
      <w:r>
        <w:t xml:space="preserve"> (napr. XSD ku XML). Také pomocné súbory by mohli byť špeciálne označené, aby bolo jasné, ku ktorému formátu </w:t>
      </w:r>
      <w:proofErr w:type="spellStart"/>
      <w:r>
        <w:t>datasetov</w:t>
      </w:r>
      <w:proofErr w:type="spellEnd"/>
      <w:r>
        <w:t xml:space="preserve"> patria. Niektoré formáty sú nesprávne alebo duplicitne pomenované (napr. XML, </w:t>
      </w:r>
      <w:proofErr w:type="spellStart"/>
      <w:r>
        <w:t>xml</w:t>
      </w:r>
      <w:proofErr w:type="spellEnd"/>
      <w:r>
        <w:t xml:space="preserve">, xml.net, </w:t>
      </w:r>
      <w:proofErr w:type="spellStart"/>
      <w:r>
        <w:t>xslx</w:t>
      </w:r>
      <w:proofErr w:type="spellEnd"/>
      <w:r>
        <w:t>, .</w:t>
      </w:r>
      <w:proofErr w:type="spellStart"/>
      <w:r>
        <w:t>xslx</w:t>
      </w:r>
      <w:proofErr w:type="spellEnd"/>
      <w:r>
        <w:t xml:space="preserve">, PDF, </w:t>
      </w:r>
      <w:proofErr w:type="spellStart"/>
      <w:r>
        <w:t>pdf</w:t>
      </w:r>
      <w:proofErr w:type="spellEnd"/>
      <w:r>
        <w:t xml:space="preserve">, HTML, html, </w:t>
      </w:r>
      <w:proofErr w:type="spellStart"/>
      <w:r>
        <w:t>htm</w:t>
      </w:r>
      <w:proofErr w:type="spellEnd"/>
      <w:r>
        <w:t xml:space="preserve">, CSV, </w:t>
      </w:r>
      <w:proofErr w:type="spellStart"/>
      <w:r>
        <w:t>csv</w:t>
      </w:r>
      <w:proofErr w:type="spellEnd"/>
      <w:r>
        <w:t xml:space="preserve">, </w:t>
      </w:r>
      <w:proofErr w:type="spellStart"/>
      <w:r>
        <w:t>csw</w:t>
      </w:r>
      <w:proofErr w:type="spellEnd"/>
      <w:r>
        <w:t xml:space="preserve">) alebo v jednom </w:t>
      </w:r>
      <w:proofErr w:type="spellStart"/>
      <w:r>
        <w:t>tagu</w:t>
      </w:r>
      <w:proofErr w:type="spellEnd"/>
      <w:r>
        <w:t xml:space="preserve"> sú uvedené viaceré formáty s čiarkou alebo s bodkou. Tieto formáty treba zjednotiť. Povinná osoba by mala mať pri zverejnení </w:t>
      </w:r>
      <w:proofErr w:type="spellStart"/>
      <w:r>
        <w:t>datasetu</w:t>
      </w:r>
      <w:proofErr w:type="spellEnd"/>
      <w:r>
        <w:t xml:space="preserve"> zoznam formátov na výber a pri zadaní nového formátu by mala prebehnúť kontrola, či už taký formát nie je zadaný podobnou skratkou. Medzi formáty sú zaradené aj hypertextové odkazy na iné sídlo mimo data.gov.sk (http, </w:t>
      </w:r>
      <w:proofErr w:type="spellStart"/>
      <w:r>
        <w:t>url</w:t>
      </w:r>
      <w:proofErr w:type="spellEnd"/>
      <w:r>
        <w:t>), tie by mohli byť odlíšené od súborov na data.gov.sk.</w:t>
      </w:r>
    </w:p>
    <w:p w:rsidR="00760243" w:rsidRDefault="00760243" w:rsidP="00760243">
      <w:pPr>
        <w:pStyle w:val="Textbody"/>
        <w:numPr>
          <w:ilvl w:val="0"/>
          <w:numId w:val="6"/>
        </w:numPr>
      </w:pPr>
      <w:r>
        <w:t>Existuje zrozumiteľné hodnotenie otvorených dát hviezdičkami</w:t>
      </w:r>
      <w:r>
        <w:rPr>
          <w:rStyle w:val="Odkaznapoznmkupodiarou"/>
        </w:rPr>
        <w:footnoteReference w:id="14"/>
      </w:r>
      <w:r>
        <w:t xml:space="preserve">, známe na Slovensku aj vo svete. Kvalita poskytovaného </w:t>
      </w:r>
      <w:proofErr w:type="spellStart"/>
      <w:r>
        <w:t>datasetu</w:t>
      </w:r>
      <w:proofErr w:type="spellEnd"/>
      <w:r>
        <w:t xml:space="preserve"> je v tomto význame zadefinovaná vo výnose MF SR č. 55/2017 Z. z. (Výnos o štandardoch pre informačné systémy verejnej správy)</w:t>
      </w:r>
      <w:r>
        <w:rPr>
          <w:rStyle w:val="Odkaznapoznmkupodiarou"/>
        </w:rPr>
        <w:footnoteReference w:id="15"/>
      </w:r>
      <w:r>
        <w:t xml:space="preserve">, § 51 až § 53. Minimálna požadovaná úroveň pre otvorené dáta je úroveň 3 hviezdičiek. Portál data.gov.sk by mohol automaticky hodnotiť zverejnené </w:t>
      </w:r>
      <w:proofErr w:type="spellStart"/>
      <w:r>
        <w:t>datasety</w:t>
      </w:r>
      <w:proofErr w:type="spellEnd"/>
      <w:r>
        <w:t xml:space="preserve"> hviezdičkami na základe platného výnosu, inými slovami: podľa typu licencie, formátu </w:t>
      </w:r>
      <w:proofErr w:type="spellStart"/>
      <w:r>
        <w:t>datasetu</w:t>
      </w:r>
      <w:proofErr w:type="spellEnd"/>
      <w:r>
        <w:t xml:space="preserve">, priradeného </w:t>
      </w:r>
      <w:proofErr w:type="spellStart"/>
      <w:r>
        <w:t>referencovateľného</w:t>
      </w:r>
      <w:proofErr w:type="spellEnd"/>
      <w:r>
        <w:t xml:space="preserve"> identifikátora a existencie prepojenia na iný </w:t>
      </w:r>
      <w:proofErr w:type="spellStart"/>
      <w:r>
        <w:t>dataset</w:t>
      </w:r>
      <w:proofErr w:type="spellEnd"/>
      <w:r>
        <w:t xml:space="preserve"> cez </w:t>
      </w:r>
      <w:proofErr w:type="spellStart"/>
      <w:r>
        <w:t>referencovateľný</w:t>
      </w:r>
      <w:proofErr w:type="spellEnd"/>
      <w:r>
        <w:t xml:space="preserve"> identifikátor. Toto hodnotenie by sa mohlo prehľadne sumarizovať v záložke Štatistiky.</w:t>
      </w:r>
    </w:p>
    <w:p w:rsidR="00760243" w:rsidRDefault="00760243" w:rsidP="00760243">
      <w:pPr>
        <w:pStyle w:val="Textbody"/>
        <w:numPr>
          <w:ilvl w:val="0"/>
          <w:numId w:val="6"/>
        </w:numPr>
      </w:pPr>
      <w:r>
        <w:t xml:space="preserve">Zvážiť striktné požiadavky na zverejnené </w:t>
      </w:r>
      <w:proofErr w:type="spellStart"/>
      <w:r>
        <w:t>datasety</w:t>
      </w:r>
      <w:proofErr w:type="spellEnd"/>
      <w:r>
        <w:t xml:space="preserve"> – portál data.gov.sk by mohol umožniť zverejnenie len tým </w:t>
      </w:r>
      <w:proofErr w:type="spellStart"/>
      <w:r>
        <w:t>datasetom</w:t>
      </w:r>
      <w:proofErr w:type="spellEnd"/>
      <w:r>
        <w:t>, ktoré splnia aspoň 3 hviezdičky – čo by bolo v súlade s /výnosom MF SR č. 55/2017 Z. z. (Výnos o štandardoch pre informačné systémy verejnej správy)</w:t>
      </w:r>
      <w:r>
        <w:rPr>
          <w:rStyle w:val="Odkaznapoznmkupodiarou"/>
        </w:rPr>
        <w:footnoteReference w:id="16"/>
      </w:r>
      <w:r>
        <w:t>, § 51 až § 53.</w:t>
      </w:r>
    </w:p>
    <w:p w:rsidR="00760243" w:rsidRDefault="00760243" w:rsidP="00760243">
      <w:pPr>
        <w:pStyle w:val="Textbody"/>
        <w:numPr>
          <w:ilvl w:val="0"/>
          <w:numId w:val="6"/>
        </w:numPr>
      </w:pPr>
      <w:r>
        <w:t xml:space="preserve">Zvážiť sprístupnenie hodnotenia a komentovania </w:t>
      </w:r>
      <w:proofErr w:type="spellStart"/>
      <w:r>
        <w:t>datasetov</w:t>
      </w:r>
      <w:proofErr w:type="spellEnd"/>
      <w:r>
        <w:t xml:space="preserve"> aj pre neprihlásených používateľov. Dôvod: prehľadnosť pre používateľov, spätná väzba pre poskytovateľov </w:t>
      </w:r>
      <w:proofErr w:type="spellStart"/>
      <w:r>
        <w:t>datasetov</w:t>
      </w:r>
      <w:proofErr w:type="spellEnd"/>
      <w:r>
        <w:t>.</w:t>
      </w:r>
    </w:p>
    <w:p w:rsidR="00760243" w:rsidRDefault="00760243" w:rsidP="00760243">
      <w:pPr>
        <w:pStyle w:val="Textbody"/>
        <w:numPr>
          <w:ilvl w:val="0"/>
          <w:numId w:val="6"/>
        </w:numPr>
      </w:pPr>
      <w:r>
        <w:t xml:space="preserve">Pri niektorých zobrazeniach na portáli data.gov.sk sú viditeľné nedostatky vo </w:t>
      </w:r>
      <w:proofErr w:type="spellStart"/>
      <w:r>
        <w:t>webdizajne</w:t>
      </w:r>
      <w:proofErr w:type="spellEnd"/>
      <w:r>
        <w:t xml:space="preserve"> portálu. Napr. slabý farebný kontrast v HTML/CSS – nezadaná farba písma spolu s farbou pozadia v tabuľke </w:t>
      </w:r>
      <w:r>
        <w:rPr>
          <w:i/>
          <w:iCs/>
        </w:rPr>
        <w:t>Dodatočné informácie</w:t>
      </w:r>
      <w:r>
        <w:t xml:space="preserve"> pri kliknutí na hociktorý </w:t>
      </w:r>
      <w:proofErr w:type="spellStart"/>
      <w:r>
        <w:t>dataset</w:t>
      </w:r>
      <w:proofErr w:type="spellEnd"/>
      <w:r>
        <w:rPr>
          <w:rStyle w:val="Odkaznapoznmkupodiarou"/>
        </w:rPr>
        <w:footnoteReference w:id="17"/>
      </w:r>
      <w:r>
        <w:t>.</w:t>
      </w:r>
    </w:p>
    <w:p w:rsidR="00760243" w:rsidRDefault="00760243" w:rsidP="00760243">
      <w:pPr>
        <w:pStyle w:val="Textbody"/>
        <w:numPr>
          <w:ilvl w:val="0"/>
          <w:numId w:val="6"/>
        </w:numPr>
      </w:pPr>
      <w:r>
        <w:t>Portál data.gov.sk by mohol byť doplnený o ďalšie štatistiky alebo analytické prehľady (všetky podľa tejto analýzy). Ďalšia analýza by bola automatizovaná, objektívnejšia, bez rozdielov v metodike medzi rokmi.</w:t>
      </w:r>
    </w:p>
    <w:p w:rsidR="00760243" w:rsidRDefault="00760243" w:rsidP="00760243">
      <w:pPr>
        <w:pStyle w:val="Textbody"/>
        <w:pageBreakBefore/>
      </w:pPr>
      <w:r>
        <w:rPr>
          <w:b/>
          <w:bCs/>
        </w:rPr>
        <w:lastRenderedPageBreak/>
        <w:t xml:space="preserve">Odporúčanie pre povinné osoby – poskytovateľov </w:t>
      </w:r>
      <w:proofErr w:type="spellStart"/>
      <w:r>
        <w:rPr>
          <w:b/>
          <w:bCs/>
        </w:rPr>
        <w:t>datasetov</w:t>
      </w:r>
      <w:proofErr w:type="spellEnd"/>
    </w:p>
    <w:p w:rsidR="00760243" w:rsidRDefault="00760243" w:rsidP="00760243">
      <w:pPr>
        <w:pStyle w:val="Textbody"/>
      </w:pPr>
      <w:r>
        <w:rPr>
          <w:i/>
          <w:iCs/>
        </w:rPr>
        <w:t>Metodická príručka pre povinné osoby – ako zverejňovať otvorené dáta (2015)</w:t>
      </w:r>
      <w:r>
        <w:rPr>
          <w:rStyle w:val="Odkaznapoznmkupodiarou"/>
        </w:rPr>
        <w:footnoteReference w:id="18"/>
      </w:r>
      <w:r>
        <w:t xml:space="preserve"> obsahuje všetko potrebné pre správne zverejňovanie </w:t>
      </w:r>
      <w:proofErr w:type="spellStart"/>
      <w:r>
        <w:t>datasetov</w:t>
      </w:r>
      <w:proofErr w:type="spellEnd"/>
      <w:r>
        <w:t>. Každá povinná osoba, u ktorej sa vyskytol nejaký nedostatok opísaný v tejto analýze, by mala postupovať podľa metodickej príručky a napraviť nedostatky.</w:t>
      </w:r>
    </w:p>
    <w:p w:rsidR="00760243" w:rsidRDefault="00760243" w:rsidP="00760243">
      <w:pPr>
        <w:pStyle w:val="HorizontalLine"/>
      </w:pPr>
    </w:p>
    <w:p w:rsidR="00760243" w:rsidRDefault="00760243" w:rsidP="00760243">
      <w:pPr>
        <w:pStyle w:val="Textbody"/>
      </w:pPr>
      <w:r>
        <w:rPr>
          <w:iCs/>
        </w:rPr>
        <w:t xml:space="preserve">Všetky uvedené odporúčania by bolo vhodné </w:t>
      </w:r>
      <w:r>
        <w:t xml:space="preserve">zapracovať do dokumentov, stratégií, akčných plánov ÚPPVII alebo iných zodpovedných inštitúcií. </w:t>
      </w:r>
      <w:r>
        <w:rPr>
          <w:iCs/>
        </w:rPr>
        <w:t>Úrad splnomocnenca vlády SR pre rozvoj občianskej spoločnosti</w:t>
      </w:r>
      <w:r>
        <w:t xml:space="preserve"> v týchto mesiacoch zastrešuje </w:t>
      </w:r>
      <w:proofErr w:type="spellStart"/>
      <w:r>
        <w:t>participatívny</w:t>
      </w:r>
      <w:proofErr w:type="spellEnd"/>
      <w:r>
        <w:t xml:space="preserve"> proces tvorby nového </w:t>
      </w:r>
      <w:r>
        <w:rPr>
          <w:i/>
          <w:iCs/>
        </w:rPr>
        <w:t>Akčného plánu Iniciatívy pre otvorené vládnutie na roky 2019 – 2021</w:t>
      </w:r>
      <w:r>
        <w:rPr>
          <w:iCs/>
        </w:rPr>
        <w:t>, kde je tiež priestor pre niektoré úlohy</w:t>
      </w:r>
      <w:r>
        <w:t>.</w:t>
      </w:r>
    </w:p>
    <w:p w:rsidR="00760243" w:rsidRDefault="00760243" w:rsidP="00760243">
      <w:pPr>
        <w:pStyle w:val="Textbody"/>
      </w:pPr>
    </w:p>
    <w:p w:rsidR="00BF6D74" w:rsidRDefault="006D72D5"/>
    <w:sectPr w:rsidR="00BF6D74" w:rsidSect="00D373E4">
      <w:headerReference w:type="default" r:id="rId59"/>
      <w:footerReference w:type="default" r:id="rId60"/>
      <w:pgSz w:w="11906" w:h="16838"/>
      <w:pgMar w:top="2267" w:right="849" w:bottom="1133"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D5" w:rsidRDefault="006D72D5" w:rsidP="00760243">
      <w:r>
        <w:separator/>
      </w:r>
    </w:p>
  </w:endnote>
  <w:endnote w:type="continuationSeparator" w:id="0">
    <w:p w:rsidR="006D72D5" w:rsidRDefault="006D72D5" w:rsidP="0076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29" w:rsidRDefault="006D72D5">
    <w:pPr>
      <w:pStyle w:val="Pta"/>
    </w:pPr>
    <w:r>
      <w:tab/>
    </w:r>
    <w:r>
      <w:fldChar w:fldCharType="begin"/>
    </w:r>
    <w:r>
      <w:instrText xml:space="preserve"> PAGE </w:instrText>
    </w:r>
    <w:r>
      <w:fldChar w:fldCharType="separate"/>
    </w:r>
    <w:r w:rsidR="00D00848">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D5" w:rsidRDefault="006D72D5" w:rsidP="00760243">
      <w:r>
        <w:separator/>
      </w:r>
    </w:p>
  </w:footnote>
  <w:footnote w:type="continuationSeparator" w:id="0">
    <w:p w:rsidR="006D72D5" w:rsidRDefault="006D72D5" w:rsidP="00760243">
      <w:r>
        <w:continuationSeparator/>
      </w:r>
    </w:p>
  </w:footnote>
  <w:footnote w:id="1">
    <w:p w:rsidR="00760243" w:rsidRDefault="00760243" w:rsidP="00760243">
      <w:pPr>
        <w:pStyle w:val="Footnote"/>
      </w:pPr>
      <w:r>
        <w:rPr>
          <w:rStyle w:val="Odkaznapoznmkupodiarou"/>
        </w:rPr>
        <w:footnoteRef/>
      </w:r>
      <w:r>
        <w:t xml:space="preserve">Sumárne počty v štatistike data.gov.sk (na obrázku) sa nezhodujú so skutočným počtom </w:t>
      </w:r>
      <w:proofErr w:type="spellStart"/>
      <w:r>
        <w:t>datasetov</w:t>
      </w:r>
      <w:proofErr w:type="spellEnd"/>
      <w:r>
        <w:t xml:space="preserve"> po kliknutí.</w:t>
      </w:r>
    </w:p>
  </w:footnote>
  <w:footnote w:id="2">
    <w:p w:rsidR="00760243" w:rsidRDefault="00760243" w:rsidP="00760243">
      <w:pPr>
        <w:pStyle w:val="Footnote"/>
      </w:pPr>
      <w:r>
        <w:rPr>
          <w:rStyle w:val="Odkaznapoznmkupodiarou"/>
        </w:rPr>
        <w:footnoteRef/>
      </w:r>
      <w:r>
        <w:t xml:space="preserve">Prehľad licencií </w:t>
      </w:r>
      <w:proofErr w:type="spellStart"/>
      <w:r>
        <w:t>Creative</w:t>
      </w:r>
      <w:proofErr w:type="spellEnd"/>
      <w:r>
        <w:t xml:space="preserve"> </w:t>
      </w:r>
      <w:proofErr w:type="spellStart"/>
      <w:r>
        <w:t>Commons</w:t>
      </w:r>
      <w:proofErr w:type="spellEnd"/>
      <w:r>
        <w:t xml:space="preserve"> uvádza stránka </w:t>
      </w:r>
      <w:hyperlink r:id="rId1" w:history="1">
        <w:r>
          <w:t>https://sk.creativecommons.org/?page_id=6</w:t>
        </w:r>
      </w:hyperlink>
    </w:p>
  </w:footnote>
  <w:footnote w:id="3">
    <w:p w:rsidR="00760243" w:rsidRDefault="00760243" w:rsidP="00760243">
      <w:pPr>
        <w:pStyle w:val="Footnote"/>
      </w:pPr>
      <w:r>
        <w:rPr>
          <w:rStyle w:val="Odkaznapoznmkupodiarou"/>
        </w:rPr>
        <w:footnoteRef/>
      </w:r>
      <w:r>
        <w:t>Súbor: modDbExport_activePublic.xlsx (04.04.2019)</w:t>
      </w:r>
    </w:p>
  </w:footnote>
  <w:footnote w:id="4">
    <w:p w:rsidR="00760243" w:rsidRDefault="00760243" w:rsidP="00760243">
      <w:pPr>
        <w:pStyle w:val="Footnote"/>
      </w:pPr>
      <w:r>
        <w:rPr>
          <w:rStyle w:val="Odkaznapoznmkupodiarou"/>
        </w:rPr>
        <w:footnoteRef/>
      </w:r>
      <w:hyperlink r:id="rId2" w:history="1">
        <w:r>
          <w:t>https://data.gov.sk/published-services</w:t>
        </w:r>
      </w:hyperlink>
    </w:p>
  </w:footnote>
  <w:footnote w:id="5">
    <w:p w:rsidR="00760243" w:rsidRDefault="00760243" w:rsidP="00760243">
      <w:pPr>
        <w:pStyle w:val="Footnote"/>
      </w:pPr>
      <w:r>
        <w:rPr>
          <w:rStyle w:val="Odkaznapoznmkupodiarou"/>
        </w:rPr>
        <w:footnoteRef/>
      </w:r>
      <w:hyperlink r:id="rId3" w:history="1">
        <w:r>
          <w:t>https://5stardata.info/cs/</w:t>
        </w:r>
      </w:hyperlink>
    </w:p>
  </w:footnote>
  <w:footnote w:id="6">
    <w:p w:rsidR="00760243" w:rsidRDefault="00760243" w:rsidP="00760243">
      <w:pPr>
        <w:pStyle w:val="Footnote"/>
      </w:pPr>
      <w:r>
        <w:rPr>
          <w:rStyle w:val="Odkaznapoznmkupodiarou"/>
        </w:rPr>
        <w:footnoteRef/>
      </w:r>
      <w:hyperlink r:id="rId4" w:history="1">
        <w:r>
          <w:t>https://www.slov-lex.sk/pravne-predpisy/SK/ZZ/2014/55/20190601</w:t>
        </w:r>
      </w:hyperlink>
    </w:p>
  </w:footnote>
  <w:footnote w:id="7">
    <w:p w:rsidR="00760243" w:rsidRDefault="00760243" w:rsidP="00760243">
      <w:pPr>
        <w:pStyle w:val="Footnote"/>
      </w:pPr>
      <w:r>
        <w:rPr>
          <w:rStyle w:val="Odkaznapoznmkupodiarou"/>
        </w:rPr>
        <w:footnoteRef/>
      </w:r>
      <w:r>
        <w:t>Súbor: modDbExport_activePublic.xlsx (04.04.2019)</w:t>
      </w:r>
    </w:p>
  </w:footnote>
  <w:footnote w:id="8">
    <w:p w:rsidR="00760243" w:rsidRDefault="00760243" w:rsidP="00760243">
      <w:pPr>
        <w:pStyle w:val="Footnote"/>
      </w:pPr>
      <w:r>
        <w:rPr>
          <w:rStyle w:val="Odkaznapoznmkupodiarou"/>
        </w:rPr>
        <w:footnoteRef/>
      </w:r>
      <w:hyperlink r:id="rId5" w:history="1">
        <w:r>
          <w:t>https://www.europeandataportal.eu/en/highlights/open-data-maturity-report-2018</w:t>
        </w:r>
      </w:hyperlink>
    </w:p>
  </w:footnote>
  <w:footnote w:id="9">
    <w:p w:rsidR="00760243" w:rsidRDefault="00760243" w:rsidP="00760243">
      <w:pPr>
        <w:pStyle w:val="Footnote"/>
      </w:pPr>
      <w:r>
        <w:rPr>
          <w:rStyle w:val="Odkaznapoznmkupodiarou"/>
        </w:rPr>
        <w:footnoteRef/>
      </w:r>
      <w:hyperlink r:id="rId6" w:history="1">
        <w:r>
          <w:t>https://docs.google.com/spreadsheets/d/13uVKtcS4vDHZISeLZvv-0E3Cefmutc8P-CVk0cEf1RM/edit#gid=0</w:t>
        </w:r>
      </w:hyperlink>
    </w:p>
  </w:footnote>
  <w:footnote w:id="10">
    <w:p w:rsidR="00760243" w:rsidRDefault="00760243" w:rsidP="00760243">
      <w:pPr>
        <w:pStyle w:val="Footnote"/>
      </w:pPr>
      <w:r>
        <w:rPr>
          <w:rStyle w:val="Odkaznapoznmkupodiarou"/>
        </w:rPr>
        <w:footnoteRef/>
      </w:r>
      <w:hyperlink r:id="rId7" w:history="1">
        <w:r>
          <w:t>https://www.minv.sk/swift_data/source/rozvoj_obcianskej_spolocnosti/otvorene_vladnutie/2018/strednodoba_hodnotiaca_sprava/2018_07_31-OGP%202017-2019_strednodoba%20sprava_verzia%203_LB.pdf</w:t>
        </w:r>
      </w:hyperlink>
    </w:p>
  </w:footnote>
  <w:footnote w:id="11">
    <w:p w:rsidR="00760243" w:rsidRDefault="00760243" w:rsidP="00760243">
      <w:pPr>
        <w:pStyle w:val="Footnote"/>
      </w:pPr>
      <w:r>
        <w:rPr>
          <w:rStyle w:val="Odkaznapoznmkupodiarou"/>
        </w:rPr>
        <w:footnoteRef/>
      </w:r>
      <w:hyperlink r:id="rId8" w:history="1">
        <w:r>
          <w:t>https://data.gov.sk/dataset/zoznam-vyuzivaneho-otvoreneho-softveru-v-gescii-msvvas-sr</w:t>
        </w:r>
      </w:hyperlink>
    </w:p>
  </w:footnote>
  <w:footnote w:id="12">
    <w:p w:rsidR="00760243" w:rsidRDefault="00760243" w:rsidP="00760243">
      <w:pPr>
        <w:pStyle w:val="Footnote"/>
      </w:pPr>
      <w:r>
        <w:rPr>
          <w:rStyle w:val="Odkaznapoznmkupodiarou"/>
        </w:rPr>
        <w:footnoteRef/>
      </w:r>
      <w:hyperlink r:id="rId9" w:history="1">
        <w:r>
          <w:t>https://www.slov-lex.sk/legislativne-procesy/SK/LP/2019/205</w:t>
        </w:r>
      </w:hyperlink>
    </w:p>
  </w:footnote>
  <w:footnote w:id="13">
    <w:p w:rsidR="00760243" w:rsidRDefault="00760243" w:rsidP="00760243">
      <w:pPr>
        <w:pStyle w:val="Footnote"/>
      </w:pPr>
      <w:r>
        <w:rPr>
          <w:rStyle w:val="Odkaznapoznmkupodiarou"/>
        </w:rPr>
        <w:footnoteRef/>
      </w:r>
      <w:r>
        <w:t xml:space="preserve">EC(2018) 434 </w:t>
      </w:r>
      <w:proofErr w:type="spellStart"/>
      <w:r>
        <w:t>final</w:t>
      </w:r>
      <w:proofErr w:type="spellEnd"/>
      <w:r>
        <w:t xml:space="preserve">, </w:t>
      </w:r>
      <w:hyperlink r:id="rId10" w:history="1">
        <w:r>
          <w:t>https://www.slov-lex.sk/legislativne-procesy/SK/LP/2018/687</w:t>
        </w:r>
      </w:hyperlink>
    </w:p>
  </w:footnote>
  <w:footnote w:id="14">
    <w:p w:rsidR="00760243" w:rsidRDefault="00760243" w:rsidP="00760243">
      <w:pPr>
        <w:pStyle w:val="Footnote"/>
      </w:pPr>
      <w:r>
        <w:rPr>
          <w:rStyle w:val="Odkaznapoznmkupodiarou"/>
        </w:rPr>
        <w:footnoteRef/>
      </w:r>
      <w:hyperlink r:id="rId11" w:history="1">
        <w:r>
          <w:t>https://5stardata.info/cs/</w:t>
        </w:r>
      </w:hyperlink>
    </w:p>
  </w:footnote>
  <w:footnote w:id="15">
    <w:p w:rsidR="00760243" w:rsidRDefault="00760243" w:rsidP="00760243">
      <w:pPr>
        <w:pStyle w:val="Footnote"/>
      </w:pPr>
      <w:r>
        <w:rPr>
          <w:rStyle w:val="Odkaznapoznmkupodiarou"/>
        </w:rPr>
        <w:footnoteRef/>
      </w:r>
      <w:hyperlink r:id="rId12" w:history="1">
        <w:r>
          <w:t>https://www.slov-lex.sk/pravne-predpisy/SK/ZZ/2014/55/20190601</w:t>
        </w:r>
      </w:hyperlink>
    </w:p>
  </w:footnote>
  <w:footnote w:id="16">
    <w:p w:rsidR="00760243" w:rsidRDefault="00760243" w:rsidP="00760243">
      <w:pPr>
        <w:pStyle w:val="Footnote"/>
      </w:pPr>
      <w:r>
        <w:rPr>
          <w:rStyle w:val="Odkaznapoznmkupodiarou"/>
        </w:rPr>
        <w:footnoteRef/>
      </w:r>
      <w:hyperlink r:id="rId13" w:history="1">
        <w:r>
          <w:t>https://www.slov-lex.sk/pravne-predpisy/SK/ZZ/2014/55/20190601</w:t>
        </w:r>
      </w:hyperlink>
    </w:p>
  </w:footnote>
  <w:footnote w:id="17">
    <w:p w:rsidR="00760243" w:rsidRDefault="00760243" w:rsidP="00760243">
      <w:pPr>
        <w:pStyle w:val="Footnote"/>
      </w:pPr>
      <w:r>
        <w:rPr>
          <w:rStyle w:val="Odkaznapoznmkupodiarou"/>
        </w:rPr>
        <w:footnoteRef/>
      </w:r>
      <w:r>
        <w:t xml:space="preserve">napr. </w:t>
      </w:r>
      <w:hyperlink r:id="rId14" w:history="1">
        <w:r>
          <w:t>https://data.gov.sk/dataset/pocet-rozhodnuti-podani-a-notifikacii-zaslanych-cez-upvs</w:t>
        </w:r>
      </w:hyperlink>
    </w:p>
  </w:footnote>
  <w:footnote w:id="18">
    <w:p w:rsidR="00760243" w:rsidRDefault="00760243" w:rsidP="00760243">
      <w:pPr>
        <w:pStyle w:val="Footnote"/>
      </w:pPr>
      <w:r>
        <w:rPr>
          <w:rStyle w:val="Odkaznapoznmkupodiarou"/>
        </w:rPr>
        <w:footnoteRef/>
      </w:r>
      <w:hyperlink r:id="rId15" w:history="1">
        <w:r>
          <w:t>https://www.slovensko.sk/_img/CMS4/Navody/Metodicka_prirucka_pre_povinne_osoby.pdf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29" w:rsidRDefault="006D72D5">
    <w:pPr>
      <w:pStyle w:val="Hlavika"/>
      <w:tabs>
        <w:tab w:val="left" w:pos="2263"/>
      </w:tabs>
      <w:jc w:val="left"/>
    </w:pPr>
    <w:r>
      <w:rPr>
        <w:noProof/>
        <w:lang w:eastAsia="sk-SK" w:bidi="ar-SA"/>
      </w:rPr>
      <w:drawing>
        <wp:anchor distT="0" distB="0" distL="114300" distR="114300" simplePos="0" relativeHeight="251659264" behindDoc="0" locked="0" layoutInCell="1" allowOverlap="1" wp14:anchorId="247BE42F" wp14:editId="3FEDA74E">
          <wp:simplePos x="0" y="0"/>
          <wp:positionH relativeFrom="column">
            <wp:align>left</wp:align>
          </wp:positionH>
          <wp:positionV relativeFrom="paragraph">
            <wp:align>top</wp:align>
          </wp:positionV>
          <wp:extent cx="1224360" cy="810360"/>
          <wp:effectExtent l="0" t="0" r="0" b="8790"/>
          <wp:wrapSquare wrapText="bothSides"/>
          <wp:docPr id="23" name="Obrázo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24360" cy="810360"/>
                  </a:xfrm>
                  <a:prstGeom prst="rect">
                    <a:avLst/>
                  </a:prstGeom>
                </pic:spPr>
              </pic:pic>
            </a:graphicData>
          </a:graphic>
        </wp:anchor>
      </w:drawing>
    </w:r>
    <w:r>
      <w:tab/>
      <w:t xml:space="preserve">Analýza zverejňovania </w:t>
    </w:r>
    <w:proofErr w:type="spellStart"/>
    <w:r>
      <w:t>datasetov</w:t>
    </w:r>
    <w:proofErr w:type="spellEnd"/>
    <w:r>
      <w:br/>
    </w:r>
    <w:r>
      <w:tab/>
      <w:t>ústredných orgánov štátnej správy</w:t>
    </w:r>
    <w:r>
      <w:br/>
    </w:r>
    <w:r>
      <w:tab/>
      <w:t>na portáli otvorených dát</w:t>
    </w:r>
    <w:r>
      <w:br/>
    </w:r>
    <w:r>
      <w:tab/>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E60"/>
    <w:multiLevelType w:val="multilevel"/>
    <w:tmpl w:val="ECD2E02A"/>
    <w:styleLink w:val="Outline"/>
    <w:lvl w:ilvl="0">
      <w:start w:val="1"/>
      <w:numFmt w:val="decimal"/>
      <w:pStyle w:val="Nadpis1"/>
      <w:lvlText w:val=" %1 "/>
      <w:lvlJc w:val="left"/>
    </w:lvl>
    <w:lvl w:ilvl="1">
      <w:start w:val="1"/>
      <w:numFmt w:val="decimal"/>
      <w:pStyle w:val="Nadpis2"/>
      <w:lvlText w:val=" %1.%2 "/>
      <w:lvlJc w:val="left"/>
      <w:pPr>
        <w:ind w:left="567" w:hanging="567"/>
      </w:pPr>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 w15:restartNumberingAfterBreak="0">
    <w:nsid w:val="139B43AE"/>
    <w:multiLevelType w:val="multilevel"/>
    <w:tmpl w:val="5FC6C920"/>
    <w:lvl w:ilvl="0">
      <w:start w:val="1"/>
      <w:numFmt w:val="decimal"/>
      <w:lvlText w:val="%1."/>
      <w:lvlJc w:val="left"/>
      <w:pPr>
        <w:ind w:left="56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2234C1E"/>
    <w:multiLevelType w:val="multilevel"/>
    <w:tmpl w:val="6B2C0562"/>
    <w:lvl w:ilvl="0">
      <w:start w:val="1"/>
      <w:numFmt w:val="bullet"/>
      <w:lvlText w:val=""/>
      <w:lvlJc w:val="left"/>
      <w:pPr>
        <w:ind w:left="567" w:hanging="567"/>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6A33D12"/>
    <w:multiLevelType w:val="multilevel"/>
    <w:tmpl w:val="9E5E2E06"/>
    <w:lvl w:ilvl="0">
      <w:start w:val="1"/>
      <w:numFmt w:val="bullet"/>
      <w:lvlText w:val=""/>
      <w:lvlJc w:val="left"/>
      <w:pPr>
        <w:ind w:left="567" w:hanging="567"/>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FB912BC"/>
    <w:multiLevelType w:val="multilevel"/>
    <w:tmpl w:val="CE88B000"/>
    <w:lvl w:ilvl="0">
      <w:start w:val="1"/>
      <w:numFmt w:val="bullet"/>
      <w:lvlText w:val=""/>
      <w:lvlJc w:val="left"/>
      <w:pPr>
        <w:ind w:left="567" w:hanging="567"/>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3BE3FAE"/>
    <w:multiLevelType w:val="multilevel"/>
    <w:tmpl w:val="37DE9FCA"/>
    <w:lvl w:ilvl="0">
      <w:start w:val="1"/>
      <w:numFmt w:val="bullet"/>
      <w:lvlText w:val=""/>
      <w:lvlJc w:val="left"/>
      <w:pPr>
        <w:ind w:left="567" w:hanging="567"/>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43"/>
    <w:rsid w:val="001768C5"/>
    <w:rsid w:val="006D72D5"/>
    <w:rsid w:val="00760243"/>
    <w:rsid w:val="00B02C2E"/>
    <w:rsid w:val="00D00848"/>
    <w:rsid w:val="00F578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BE5F"/>
  <w15:chartTrackingRefBased/>
  <w15:docId w15:val="{7C99E083-D588-4864-840D-C2CA4AB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0243"/>
    <w:pPr>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Nadpis1">
    <w:name w:val="heading 1"/>
    <w:basedOn w:val="Normlny"/>
    <w:next w:val="Textbody"/>
    <w:link w:val="Nadpis1Char"/>
    <w:rsid w:val="00760243"/>
    <w:pPr>
      <w:keepNext/>
      <w:numPr>
        <w:numId w:val="1"/>
      </w:numPr>
      <w:spacing w:after="170"/>
      <w:outlineLvl w:val="0"/>
    </w:pPr>
    <w:rPr>
      <w:rFonts w:eastAsia="Liberation Serif" w:cs="Liberation Serif"/>
      <w:b/>
      <w:bCs/>
      <w:sz w:val="32"/>
      <w:szCs w:val="28"/>
    </w:rPr>
  </w:style>
  <w:style w:type="paragraph" w:styleId="Nadpis2">
    <w:name w:val="heading 2"/>
    <w:basedOn w:val="Normlny"/>
    <w:next w:val="Textbody"/>
    <w:link w:val="Nadpis2Char"/>
    <w:rsid w:val="00760243"/>
    <w:pPr>
      <w:keepNext/>
      <w:numPr>
        <w:ilvl w:val="1"/>
        <w:numId w:val="1"/>
      </w:numPr>
      <w:spacing w:before="57" w:after="57"/>
      <w:outlineLvl w:val="1"/>
    </w:pPr>
    <w:rPr>
      <w:rFonts w:eastAsia="Liberation Serif" w:cs="Liberation Serif"/>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60243"/>
    <w:rPr>
      <w:rFonts w:ascii="Liberation Serif" w:eastAsia="Liberation Serif" w:hAnsi="Liberation Serif" w:cs="Liberation Serif"/>
      <w:b/>
      <w:bCs/>
      <w:kern w:val="3"/>
      <w:sz w:val="32"/>
      <w:szCs w:val="28"/>
      <w:lang w:eastAsia="zh-CN" w:bidi="hi-IN"/>
    </w:rPr>
  </w:style>
  <w:style w:type="character" w:customStyle="1" w:styleId="Nadpis2Char">
    <w:name w:val="Nadpis 2 Char"/>
    <w:basedOn w:val="Predvolenpsmoodseku"/>
    <w:link w:val="Nadpis2"/>
    <w:rsid w:val="00760243"/>
    <w:rPr>
      <w:rFonts w:ascii="Liberation Serif" w:eastAsia="Liberation Serif" w:hAnsi="Liberation Serif" w:cs="Liberation Serif"/>
      <w:b/>
      <w:bCs/>
      <w:kern w:val="3"/>
      <w:sz w:val="28"/>
      <w:szCs w:val="28"/>
      <w:lang w:eastAsia="zh-CN" w:bidi="hi-IN"/>
    </w:rPr>
  </w:style>
  <w:style w:type="numbering" w:customStyle="1" w:styleId="Outline">
    <w:name w:val="Outline"/>
    <w:basedOn w:val="Bezzoznamu"/>
    <w:rsid w:val="00760243"/>
    <w:pPr>
      <w:numPr>
        <w:numId w:val="1"/>
      </w:numPr>
    </w:pPr>
  </w:style>
  <w:style w:type="paragraph" w:customStyle="1" w:styleId="Standard">
    <w:name w:val="Standard"/>
    <w:rsid w:val="00760243"/>
    <w:pPr>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Textbody">
    <w:name w:val="Text body"/>
    <w:basedOn w:val="Standard"/>
    <w:rsid w:val="00760243"/>
    <w:pPr>
      <w:spacing w:after="113" w:line="276" w:lineRule="auto"/>
      <w:ind w:firstLine="567"/>
      <w:jc w:val="both"/>
    </w:pPr>
  </w:style>
  <w:style w:type="paragraph" w:styleId="Hlavika">
    <w:name w:val="header"/>
    <w:basedOn w:val="Standard"/>
    <w:link w:val="HlavikaChar"/>
    <w:rsid w:val="00760243"/>
    <w:pPr>
      <w:suppressLineNumbers/>
      <w:spacing w:line="276" w:lineRule="auto"/>
      <w:jc w:val="center"/>
    </w:pPr>
    <w:rPr>
      <w:b/>
      <w:color w:val="666666"/>
    </w:rPr>
  </w:style>
  <w:style w:type="character" w:customStyle="1" w:styleId="HlavikaChar">
    <w:name w:val="Hlavička Char"/>
    <w:basedOn w:val="Predvolenpsmoodseku"/>
    <w:link w:val="Hlavika"/>
    <w:rsid w:val="00760243"/>
    <w:rPr>
      <w:rFonts w:ascii="Liberation Serif" w:eastAsia="DejaVu Sans" w:hAnsi="Liberation Serif" w:cs="DejaVu Sans"/>
      <w:b/>
      <w:color w:val="666666"/>
      <w:kern w:val="3"/>
      <w:sz w:val="24"/>
      <w:szCs w:val="24"/>
      <w:lang w:eastAsia="zh-CN" w:bidi="hi-IN"/>
    </w:rPr>
  </w:style>
  <w:style w:type="paragraph" w:styleId="Nzov">
    <w:name w:val="Title"/>
    <w:basedOn w:val="Normlny"/>
    <w:next w:val="Textbody"/>
    <w:link w:val="NzovChar"/>
    <w:rsid w:val="00760243"/>
    <w:pPr>
      <w:keepNext/>
      <w:spacing w:before="2835" w:after="2835" w:line="276" w:lineRule="auto"/>
      <w:jc w:val="center"/>
    </w:pPr>
    <w:rPr>
      <w:rFonts w:eastAsia="Liberation Serif" w:cs="Liberation Serif"/>
      <w:b/>
      <w:bCs/>
      <w:sz w:val="56"/>
      <w:szCs w:val="56"/>
    </w:rPr>
  </w:style>
  <w:style w:type="character" w:customStyle="1" w:styleId="NzovChar">
    <w:name w:val="Názov Char"/>
    <w:basedOn w:val="Predvolenpsmoodseku"/>
    <w:link w:val="Nzov"/>
    <w:rsid w:val="00760243"/>
    <w:rPr>
      <w:rFonts w:ascii="Liberation Serif" w:eastAsia="Liberation Serif" w:hAnsi="Liberation Serif" w:cs="Liberation Serif"/>
      <w:b/>
      <w:bCs/>
      <w:kern w:val="3"/>
      <w:sz w:val="56"/>
      <w:szCs w:val="56"/>
      <w:lang w:eastAsia="zh-CN" w:bidi="hi-IN"/>
    </w:rPr>
  </w:style>
  <w:style w:type="paragraph" w:styleId="Pta">
    <w:name w:val="footer"/>
    <w:basedOn w:val="Standard"/>
    <w:link w:val="PtaChar"/>
    <w:rsid w:val="00760243"/>
    <w:pPr>
      <w:suppressLineNumbers/>
      <w:tabs>
        <w:tab w:val="center" w:pos="4819"/>
        <w:tab w:val="right" w:pos="9638"/>
      </w:tabs>
    </w:pPr>
  </w:style>
  <w:style w:type="character" w:customStyle="1" w:styleId="PtaChar">
    <w:name w:val="Päta Char"/>
    <w:basedOn w:val="Predvolenpsmoodseku"/>
    <w:link w:val="Pta"/>
    <w:rsid w:val="00760243"/>
    <w:rPr>
      <w:rFonts w:ascii="Liberation Serif" w:eastAsia="DejaVu Sans" w:hAnsi="Liberation Serif" w:cs="DejaVu Sans"/>
      <w:kern w:val="3"/>
      <w:sz w:val="24"/>
      <w:szCs w:val="24"/>
      <w:lang w:eastAsia="zh-CN" w:bidi="hi-IN"/>
    </w:rPr>
  </w:style>
  <w:style w:type="paragraph" w:customStyle="1" w:styleId="ContentsHeading">
    <w:name w:val="Contents Heading"/>
    <w:basedOn w:val="Normlny"/>
    <w:rsid w:val="00760243"/>
    <w:pPr>
      <w:keepNext/>
      <w:suppressLineNumbers/>
      <w:spacing w:after="170"/>
    </w:pPr>
    <w:rPr>
      <w:rFonts w:eastAsia="Liberation Serif" w:cs="Liberation Serif"/>
      <w:b/>
      <w:bCs/>
      <w:sz w:val="32"/>
      <w:szCs w:val="32"/>
    </w:rPr>
  </w:style>
  <w:style w:type="paragraph" w:customStyle="1" w:styleId="Contents1">
    <w:name w:val="Contents 1"/>
    <w:basedOn w:val="Normlny"/>
    <w:rsid w:val="00760243"/>
    <w:pPr>
      <w:suppressLineNumbers/>
      <w:tabs>
        <w:tab w:val="right" w:leader="dot" w:pos="9638"/>
      </w:tabs>
    </w:pPr>
  </w:style>
  <w:style w:type="paragraph" w:customStyle="1" w:styleId="Figure">
    <w:name w:val="Figure"/>
    <w:basedOn w:val="Popis"/>
    <w:rsid w:val="00760243"/>
    <w:pPr>
      <w:suppressLineNumbers/>
      <w:spacing w:after="0"/>
      <w:jc w:val="center"/>
    </w:pPr>
    <w:rPr>
      <w:rFonts w:cs="DejaVu Sans"/>
      <w:b/>
      <w:i w:val="0"/>
      <w:color w:val="auto"/>
      <w:sz w:val="24"/>
      <w:szCs w:val="24"/>
    </w:rPr>
  </w:style>
  <w:style w:type="paragraph" w:customStyle="1" w:styleId="Contents2">
    <w:name w:val="Contents 2"/>
    <w:basedOn w:val="Normlny"/>
    <w:rsid w:val="00760243"/>
    <w:pPr>
      <w:suppressLineNumbers/>
      <w:tabs>
        <w:tab w:val="right" w:leader="dot" w:pos="9638"/>
      </w:tabs>
      <w:ind w:left="283"/>
    </w:pPr>
  </w:style>
  <w:style w:type="paragraph" w:customStyle="1" w:styleId="Footnote">
    <w:name w:val="Footnote"/>
    <w:basedOn w:val="Standard"/>
    <w:rsid w:val="00760243"/>
    <w:pPr>
      <w:suppressLineNumbers/>
      <w:ind w:left="339" w:hanging="339"/>
    </w:pPr>
    <w:rPr>
      <w:sz w:val="20"/>
      <w:szCs w:val="20"/>
    </w:rPr>
  </w:style>
  <w:style w:type="paragraph" w:customStyle="1" w:styleId="Table">
    <w:name w:val="Table"/>
    <w:basedOn w:val="Popis"/>
    <w:rsid w:val="00760243"/>
    <w:pPr>
      <w:suppressLineNumbers/>
      <w:spacing w:after="0"/>
      <w:jc w:val="center"/>
    </w:pPr>
    <w:rPr>
      <w:rFonts w:cs="DejaVu Sans"/>
      <w:b/>
      <w:i w:val="0"/>
      <w:color w:val="auto"/>
      <w:sz w:val="24"/>
      <w:szCs w:val="24"/>
    </w:rPr>
  </w:style>
  <w:style w:type="paragraph" w:customStyle="1" w:styleId="HorizontalLine">
    <w:name w:val="Horizontal Line"/>
    <w:basedOn w:val="Standard"/>
    <w:next w:val="Textbody"/>
    <w:rsid w:val="00760243"/>
    <w:pPr>
      <w:suppressLineNumbers/>
      <w:spacing w:after="283"/>
    </w:pPr>
    <w:rPr>
      <w:sz w:val="12"/>
      <w:szCs w:val="12"/>
    </w:rPr>
  </w:style>
  <w:style w:type="character" w:styleId="Odkaznapoznmkupodiarou">
    <w:name w:val="footnote reference"/>
    <w:basedOn w:val="Predvolenpsmoodseku"/>
    <w:rsid w:val="00760243"/>
    <w:rPr>
      <w:position w:val="0"/>
      <w:vertAlign w:val="superscript"/>
    </w:rPr>
  </w:style>
  <w:style w:type="paragraph" w:styleId="Popis">
    <w:name w:val="caption"/>
    <w:basedOn w:val="Normlny"/>
    <w:next w:val="Normlny"/>
    <w:uiPriority w:val="35"/>
    <w:semiHidden/>
    <w:unhideWhenUsed/>
    <w:qFormat/>
    <w:rsid w:val="00760243"/>
    <w:pPr>
      <w:spacing w:after="200"/>
    </w:pPr>
    <w:rPr>
      <w:rFonts w:cs="Mangal"/>
      <w:i/>
      <w:iCs/>
      <w:color w:val="44546A"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__RefHeading___Toc449_2396483536" TargetMode="External"/><Relationship Id="rId18" Type="http://schemas.openxmlformats.org/officeDocument/2006/relationships/hyperlink" Target="#__RefHeading___Toc25609_1655535301" TargetMode="External"/><Relationship Id="rId26" Type="http://schemas.openxmlformats.org/officeDocument/2006/relationships/hyperlink" Target="#__RefHeading___Toc135_1655535301" TargetMode="External"/><Relationship Id="rId39" Type="http://schemas.openxmlformats.org/officeDocument/2006/relationships/chart" Target="charts/chart5.xml"/><Relationship Id="rId21" Type="http://schemas.openxmlformats.org/officeDocument/2006/relationships/hyperlink" Target="#__RefHeading___Toc1042_2396483536" TargetMode="External"/><Relationship Id="rId34" Type="http://schemas.openxmlformats.org/officeDocument/2006/relationships/oleObject" Target="embeddings/oleObject2.bin"/><Relationship Id="rId42" Type="http://schemas.openxmlformats.org/officeDocument/2006/relationships/chart" Target="charts/chart8.xml"/><Relationship Id="rId47" Type="http://schemas.openxmlformats.org/officeDocument/2006/relationships/hyperlink" Target="https://index.okfn.org/" TargetMode="External"/><Relationship Id="rId50" Type="http://schemas.openxmlformats.org/officeDocument/2006/relationships/hyperlink" Target="https://ismcs.cdb.sk/portal/mapviewer" TargetMode="External"/><Relationship Id="rId55" Type="http://schemas.openxmlformats.org/officeDocument/2006/relationships/hyperlink" Target="https://openspending.org/viewer/1ae301d0fb4c5bd535ce8e2eadf7a668:presov.sk-program-budget-2016?lang=e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__RefHeading___Toc569_2396483536" TargetMode="External"/><Relationship Id="rId20" Type="http://schemas.openxmlformats.org/officeDocument/2006/relationships/hyperlink" Target="#__RefHeading___Toc1040_2396483536" TargetMode="External"/><Relationship Id="rId29" Type="http://schemas.openxmlformats.org/officeDocument/2006/relationships/hyperlink" Target="https://data.gov.sk/" TargetMode="External"/><Relationship Id="rId41" Type="http://schemas.openxmlformats.org/officeDocument/2006/relationships/chart" Target="charts/chart7.xml"/><Relationship Id="rId54" Type="http://schemas.openxmlformats.org/officeDocument/2006/relationships/hyperlink" Target="https://openspending.org/viewer/"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_RefHeading___Toc447_2396483536" TargetMode="External"/><Relationship Id="rId24" Type="http://schemas.openxmlformats.org/officeDocument/2006/relationships/hyperlink" Target="#__RefHeading___Toc1762_1471978651" TargetMode="External"/><Relationship Id="rId32" Type="http://schemas.openxmlformats.org/officeDocument/2006/relationships/image" Target="media/image3.emf"/><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chart" Target="charts/chart9.xml"/><Relationship Id="rId53" Type="http://schemas.openxmlformats.org/officeDocument/2006/relationships/hyperlink" Target="https://www.uvostat.sk/vyberovekonania" TargetMode="External"/><Relationship Id="rId58" Type="http://schemas.openxmlformats.org/officeDocument/2006/relationships/hyperlink" Target="http://rzsj.enviroportal.sk/mapov-zobrazenie" TargetMode="External"/><Relationship Id="rId5" Type="http://schemas.openxmlformats.org/officeDocument/2006/relationships/footnotes" Target="footnotes.xml"/><Relationship Id="rId15" Type="http://schemas.openxmlformats.org/officeDocument/2006/relationships/hyperlink" Target="#__RefHeading___Toc567_2396483536" TargetMode="External"/><Relationship Id="rId23" Type="http://schemas.openxmlformats.org/officeDocument/2006/relationships/hyperlink" Target="#__RefHeading___Toc1760_1471978651" TargetMode="External"/><Relationship Id="rId28" Type="http://schemas.openxmlformats.org/officeDocument/2006/relationships/hyperlink" Target="https://data.gov.sk/" TargetMode="External"/><Relationship Id="rId36" Type="http://schemas.openxmlformats.org/officeDocument/2006/relationships/chart" Target="charts/chart2.xml"/><Relationship Id="rId49" Type="http://schemas.openxmlformats.org/officeDocument/2006/relationships/hyperlink" Target="https://www.europeandataportal.eu/" TargetMode="External"/><Relationship Id="rId57" Type="http://schemas.openxmlformats.org/officeDocument/2006/relationships/hyperlink" Target="https://openspending.org/viewer/1ae301d0fb4c5bd535ce8e2eadf7a668:presov.sk-program-budget-2016?lang=en" TargetMode="External"/><Relationship Id="rId61" Type="http://schemas.openxmlformats.org/officeDocument/2006/relationships/fontTable" Target="fontTable.xml"/><Relationship Id="rId10" Type="http://schemas.openxmlformats.org/officeDocument/2006/relationships/hyperlink" Target="#__RefHeading___Toc142_6072258" TargetMode="External"/><Relationship Id="rId19" Type="http://schemas.openxmlformats.org/officeDocument/2006/relationships/hyperlink" Target="#__RefHeading___Toc1553_2396483536" TargetMode="External"/><Relationship Id="rId31" Type="http://schemas.openxmlformats.org/officeDocument/2006/relationships/hyperlink" Target="https://data.gov.sk/" TargetMode="External"/><Relationship Id="rId44" Type="http://schemas.openxmlformats.org/officeDocument/2006/relationships/image" Target="media/image4.png"/><Relationship Id="rId52" Type="http://schemas.openxmlformats.org/officeDocument/2006/relationships/hyperlink" Target="https://open.slovensko.sk/"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__RefHeading___Toc25607_1655535301" TargetMode="External"/><Relationship Id="rId14" Type="http://schemas.openxmlformats.org/officeDocument/2006/relationships/hyperlink" Target="#__RefHeading___Toc499_2396483536" TargetMode="External"/><Relationship Id="rId22" Type="http://schemas.openxmlformats.org/officeDocument/2006/relationships/hyperlink" Target="#__RefHeading___Toc1046_2396483536" TargetMode="External"/><Relationship Id="rId27" Type="http://schemas.openxmlformats.org/officeDocument/2006/relationships/image" Target="media/image2.png"/><Relationship Id="rId30" Type="http://schemas.openxmlformats.org/officeDocument/2006/relationships/hyperlink" Target="https://data.gov.sk/" TargetMode="External"/><Relationship Id="rId35" Type="http://schemas.openxmlformats.org/officeDocument/2006/relationships/chart" Target="charts/chart1.xml"/><Relationship Id="rId43" Type="http://schemas.openxmlformats.org/officeDocument/2006/relationships/hyperlink" Target="https://www.slovensko.sk/" TargetMode="External"/><Relationship Id="rId48" Type="http://schemas.openxmlformats.org/officeDocument/2006/relationships/hyperlink" Target="https://opendatabarometer.org/" TargetMode="External"/><Relationship Id="rId56" Type="http://schemas.openxmlformats.org/officeDocument/2006/relationships/hyperlink" Target="https://openspending.org/viewer/1ae301d0fb4c5bd535ce8e2eadf7a668:presov.sk-program-budget-2016?lang=en" TargetMode="External"/><Relationship Id="rId8" Type="http://schemas.openxmlformats.org/officeDocument/2006/relationships/hyperlink" Target="#__RefHeading___Toc131_1655535301" TargetMode="External"/><Relationship Id="rId51" Type="http://schemas.openxmlformats.org/officeDocument/2006/relationships/hyperlink" Target="https://open.slovensko.sk/" TargetMode="External"/><Relationship Id="rId3" Type="http://schemas.openxmlformats.org/officeDocument/2006/relationships/settings" Target="settings.xml"/><Relationship Id="rId12" Type="http://schemas.openxmlformats.org/officeDocument/2006/relationships/hyperlink" Target="#__RefHeading___Toc272_6072258" TargetMode="External"/><Relationship Id="rId17" Type="http://schemas.openxmlformats.org/officeDocument/2006/relationships/hyperlink" Target="#__RefHeading___Toc924_2396483536" TargetMode="External"/><Relationship Id="rId25" Type="http://schemas.openxmlformats.org/officeDocument/2006/relationships/hyperlink" Target="#__RefHeading___Toc1764_1471978651" TargetMode="External"/><Relationship Id="rId33" Type="http://schemas.openxmlformats.org/officeDocument/2006/relationships/oleObject" Target="embeddings/oleObject1.bin"/><Relationship Id="rId38" Type="http://schemas.openxmlformats.org/officeDocument/2006/relationships/chart" Target="charts/chart4.xml"/><Relationship Id="rId46" Type="http://schemas.openxmlformats.org/officeDocument/2006/relationships/chart" Target="charts/chart10.xm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ata.gov.sk/dataset/zoznam-vyuzivaneho-otvoreneho-softveru-v-gescii-msvvas-sr" TargetMode="External"/><Relationship Id="rId13" Type="http://schemas.openxmlformats.org/officeDocument/2006/relationships/hyperlink" Target="https://www.slov-lex.sk/pravne-predpisy/SK/ZZ/2014/55/20190601" TargetMode="External"/><Relationship Id="rId3" Type="http://schemas.openxmlformats.org/officeDocument/2006/relationships/hyperlink" Target="https://5stardata.info/cs/" TargetMode="External"/><Relationship Id="rId7" Type="http://schemas.openxmlformats.org/officeDocument/2006/relationships/hyperlink" Target="https://www.minv.sk/swift_data/source/rozvoj_obcianskej_spolocnosti/otvorene_vladnutie/2018/strednodoba_hodnotiaca_sprava/2018_07_31-OGP%202017-2019_strednodoba%20sprava_verzia%203_LB.pdf" TargetMode="External"/><Relationship Id="rId12" Type="http://schemas.openxmlformats.org/officeDocument/2006/relationships/hyperlink" Target="https://www.slov-lex.sk/pravne-predpisy/SK/ZZ/2014/55/20190601" TargetMode="External"/><Relationship Id="rId2" Type="http://schemas.openxmlformats.org/officeDocument/2006/relationships/hyperlink" Target="https://data.gov.sk/published-services" TargetMode="External"/><Relationship Id="rId1" Type="http://schemas.openxmlformats.org/officeDocument/2006/relationships/hyperlink" Target="https://sk.creativecommons.org/?page_id=6" TargetMode="External"/><Relationship Id="rId6" Type="http://schemas.openxmlformats.org/officeDocument/2006/relationships/hyperlink" Target="https://docs.google.com/spreadsheets/d/13uVKtcS4vDHZISeLZvv-0E3Cefmutc8P-CVk0cEf1RM/edit#gid=0" TargetMode="External"/><Relationship Id="rId11" Type="http://schemas.openxmlformats.org/officeDocument/2006/relationships/hyperlink" Target="https://5stardata.info/cs/" TargetMode="External"/><Relationship Id="rId5" Type="http://schemas.openxmlformats.org/officeDocument/2006/relationships/hyperlink" Target="https://www.europeandataportal.eu/en/highlights/open-data-maturity-report-2018" TargetMode="External"/><Relationship Id="rId15" Type="http://schemas.openxmlformats.org/officeDocument/2006/relationships/hyperlink" Target="https://www.slovensko.sk/_img/CMS4/Navody/Metodicka_prirucka_pre_povinne_osoby.pdf" TargetMode="External"/><Relationship Id="rId10" Type="http://schemas.openxmlformats.org/officeDocument/2006/relationships/hyperlink" Target="https://www.slov-lex.sk/legislativne-procesy/SK/LP/2018/687" TargetMode="External"/><Relationship Id="rId4" Type="http://schemas.openxmlformats.org/officeDocument/2006/relationships/hyperlink" Target="https://www.slov-lex.sk/pravne-predpisy/SK/ZZ/2014/55/20190601" TargetMode="External"/><Relationship Id="rId9" Type="http://schemas.openxmlformats.org/officeDocument/2006/relationships/hyperlink" Target="https://www.slov-lex.sk/legislativne-procesy/SK/LP/2019/205" TargetMode="External"/><Relationship Id="rId14" Type="http://schemas.openxmlformats.org/officeDocument/2006/relationships/hyperlink" Target="https://data.gov.sk/dataset/pocet-rozhodnuti-podani-a-notifikacii-zaslanych-cez-upv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1: Celkový počet datasetov podľa rokov</a:t>
            </a:r>
          </a:p>
        </c:rich>
      </c:tx>
      <c:layout>
        <c:manualLayout>
          <c:xMode val="edge"/>
          <c:yMode val="edge"/>
          <c:x val="0.25447042483660126"/>
          <c:y val="0.92155524691358026"/>
        </c:manualLayout>
      </c:layout>
      <c:overlay val="0"/>
    </c:title>
    <c:autoTitleDeleted val="0"/>
    <c:plotArea>
      <c:layout>
        <c:manualLayout>
          <c:xMode val="edge"/>
          <c:yMode val="edge"/>
          <c:x val="4.4705882352941177E-3"/>
          <c:y val="1.1111111111111111E-3"/>
          <c:w val="0.99447058823529411"/>
          <c:h val="0.90344413580246918"/>
        </c:manualLayout>
      </c:layout>
      <c:barChart>
        <c:barDir val="col"/>
        <c:grouping val="clustered"/>
        <c:varyColors val="0"/>
        <c:ser>
          <c:idx val="0"/>
          <c:order val="0"/>
          <c:tx>
            <c:v>počet datasetov</c:v>
          </c:tx>
          <c:spPr>
            <a:solidFill>
              <a:srgbClr val="004586"/>
            </a:solidFill>
            <a:ln>
              <a:noFill/>
            </a:ln>
          </c:spPr>
          <c:invertIfNegative val="0"/>
          <c:cat>
            <c:numLit>
              <c:formatCode>General</c:formatCode>
              <c:ptCount val="7"/>
              <c:pt idx="0">
                <c:v>2013</c:v>
              </c:pt>
              <c:pt idx="1">
                <c:v>0</c:v>
              </c:pt>
              <c:pt idx="2">
                <c:v>2015</c:v>
              </c:pt>
              <c:pt idx="3">
                <c:v>0</c:v>
              </c:pt>
              <c:pt idx="4">
                <c:v>2017</c:v>
              </c:pt>
              <c:pt idx="5">
                <c:v>2018</c:v>
              </c:pt>
              <c:pt idx="6">
                <c:v>2019</c:v>
              </c:pt>
            </c:numLit>
          </c:cat>
          <c:val>
            <c:numLit>
              <c:formatCode>General</c:formatCode>
              <c:ptCount val="7"/>
              <c:pt idx="0">
                <c:v>204</c:v>
              </c:pt>
              <c:pt idx="1">
                <c:v>0</c:v>
              </c:pt>
              <c:pt idx="2">
                <c:v>889</c:v>
              </c:pt>
              <c:pt idx="3">
                <c:v>0</c:v>
              </c:pt>
              <c:pt idx="4">
                <c:v>1034</c:v>
              </c:pt>
              <c:pt idx="5">
                <c:v>2181</c:v>
              </c:pt>
              <c:pt idx="6">
                <c:v>1962</c:v>
              </c:pt>
            </c:numLit>
          </c:val>
          <c:extLst>
            <c:ext xmlns:c16="http://schemas.microsoft.com/office/drawing/2014/chart" uri="{C3380CC4-5D6E-409C-BE32-E72D297353CC}">
              <c16:uniqueId val="{00000000-874B-48E7-98E5-087BFF4BE853}"/>
            </c:ext>
          </c:extLst>
        </c:ser>
        <c:dLbls>
          <c:showLegendKey val="0"/>
          <c:showVal val="0"/>
          <c:showCatName val="0"/>
          <c:showSerName val="0"/>
          <c:showPercent val="0"/>
          <c:showBubbleSize val="0"/>
        </c:dLbls>
        <c:gapWidth val="150"/>
        <c:axId val="220286272"/>
        <c:axId val="220285944"/>
      </c:barChart>
      <c:valAx>
        <c:axId val="220285944"/>
        <c:scaling>
          <c:orientation val="minMax"/>
        </c:scaling>
        <c:delete val="0"/>
        <c:axPos val="l"/>
        <c:majorGridlines>
          <c:spPr>
            <a:ln>
              <a:solidFill>
                <a:srgbClr val="B3B3B3"/>
              </a:solidFill>
            </a:ln>
          </c:spPr>
        </c:majorGridlines>
        <c:numFmt formatCode="General" sourceLinked="0"/>
        <c:majorTickMark val="none"/>
        <c:minorTickMark val="none"/>
        <c:tickLblPos val="nextTo"/>
        <c:spPr>
          <a:ln>
            <a:solidFill>
              <a:srgbClr val="B3B3B3"/>
            </a:solidFill>
          </a:ln>
        </c:spPr>
        <c:txPr>
          <a:bodyPr/>
          <a:lstStyle/>
          <a:p>
            <a:pPr>
              <a:defRPr sz="1200" b="0">
                <a:latin typeface="Liberation Serif" pitchFamily="16"/>
              </a:defRPr>
            </a:pPr>
            <a:endParaRPr lang="sk-SK"/>
          </a:p>
        </c:txPr>
        <c:crossAx val="220286272"/>
        <c:crossesAt val="1"/>
        <c:crossBetween val="between"/>
      </c:valAx>
      <c:catAx>
        <c:axId val="220286272"/>
        <c:scaling>
          <c:orientation val="minMax"/>
        </c:scaling>
        <c:delete val="0"/>
        <c:axPos val="b"/>
        <c:numFmt formatCode="General" sourceLinked="0"/>
        <c:majorTickMark val="none"/>
        <c:minorTickMark val="none"/>
        <c:tickLblPos val="nextTo"/>
        <c:spPr>
          <a:ln>
            <a:solidFill>
              <a:srgbClr val="B3B3B3"/>
            </a:solidFill>
          </a:ln>
        </c:spPr>
        <c:txPr>
          <a:bodyPr/>
          <a:lstStyle/>
          <a:p>
            <a:pPr>
              <a:defRPr sz="1200" b="0">
                <a:latin typeface="Liberation Serif" pitchFamily="16"/>
              </a:defRPr>
            </a:pPr>
            <a:endParaRPr lang="sk-SK"/>
          </a:p>
        </c:txPr>
        <c:crossAx val="220285944"/>
        <c:crossesAt val="0"/>
        <c:auto val="1"/>
        <c:lblAlgn val="ctr"/>
        <c:lblOffset val="100"/>
        <c:noMultiLvlLbl val="0"/>
      </c:catAx>
      <c:spPr>
        <a:noFill/>
        <a:ln>
          <a:solidFill>
            <a:srgbClr val="B3B3B3"/>
          </a:solidFill>
          <a:prstDash val="solid"/>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10: Podiel datasetov s aspoň 3 hviezdičkami podľa licencie a formátu</a:t>
            </a:r>
          </a:p>
        </c:rich>
      </c:tx>
      <c:layout>
        <c:manualLayout>
          <c:xMode val="edge"/>
          <c:yMode val="edge"/>
          <c:x val="5.3196453569762013E-2"/>
          <c:y val="0.92155524691358026"/>
        </c:manualLayout>
      </c:layout>
      <c:overlay val="0"/>
    </c:title>
    <c:autoTitleDeleted val="0"/>
    <c:view3D>
      <c:rotX val="30"/>
      <c:rotY val="90"/>
      <c:rAngAx val="1"/>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layoutTarget val="inner"/>
          <c:xMode val="edge"/>
          <c:yMode val="edge"/>
          <c:x val="1.2139223337823515E-3"/>
          <c:y val="3.7777373085126418E-3"/>
          <c:w val="0.89260712781272711"/>
          <c:h val="0.89266645471746453"/>
        </c:manualLayout>
      </c:layout>
      <c:pie3DChart>
        <c:varyColors val="1"/>
        <c:ser>
          <c:idx val="0"/>
          <c:order val="0"/>
          <c:tx>
            <c:v>Počet datasetov</c:v>
          </c:tx>
          <c:dPt>
            <c:idx val="0"/>
            <c:bubble3D val="0"/>
            <c:spPr>
              <a:solidFill>
                <a:srgbClr val="004586"/>
              </a:solidFill>
            </c:spPr>
            <c:extLst>
              <c:ext xmlns:c16="http://schemas.microsoft.com/office/drawing/2014/chart" uri="{C3380CC4-5D6E-409C-BE32-E72D297353CC}">
                <c16:uniqueId val="{00000001-79ED-475D-8506-469DDC69E48B}"/>
              </c:ext>
            </c:extLst>
          </c:dPt>
          <c:dPt>
            <c:idx val="1"/>
            <c:bubble3D val="0"/>
            <c:spPr>
              <a:solidFill>
                <a:srgbClr val="FF420E"/>
              </a:solidFill>
            </c:spPr>
            <c:extLst>
              <c:ext xmlns:c16="http://schemas.microsoft.com/office/drawing/2014/chart" uri="{C3380CC4-5D6E-409C-BE32-E72D297353CC}">
                <c16:uniqueId val="{00000003-79ED-475D-8506-469DDC69E48B}"/>
              </c:ext>
            </c:extLst>
          </c:dPt>
          <c:dLbls>
            <c:spPr>
              <a:noFill/>
              <a:ln>
                <a:noFill/>
              </a:ln>
              <a:effectLst/>
            </c:spPr>
            <c:txPr>
              <a:bodyPr wrap="square" lIns="38100" tIns="19050" rIns="38100" bIns="19050" anchor="ctr">
                <a:spAutoFit/>
              </a:bodyPr>
              <a:lstStyle/>
              <a:p>
                <a:pPr>
                  <a:defRPr sz="1200" b="1">
                    <a:solidFill>
                      <a:srgbClr val="FFFFFF"/>
                    </a:solidFill>
                    <a:latin typeface="Liberation Serif" pitchFamily="16"/>
                  </a:defRPr>
                </a:pPr>
                <a:endParaRPr lang="sk-SK"/>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áno</c:v>
              </c:pt>
              <c:pt idx="1">
                <c:v>nie</c:v>
              </c:pt>
            </c:strLit>
          </c:cat>
          <c:val>
            <c:numLit>
              <c:formatCode>General</c:formatCode>
              <c:ptCount val="2"/>
              <c:pt idx="0">
                <c:v>4097</c:v>
              </c:pt>
              <c:pt idx="1">
                <c:v>2985</c:v>
              </c:pt>
            </c:numLit>
          </c:val>
          <c:extLst>
            <c:ext xmlns:c16="http://schemas.microsoft.com/office/drawing/2014/chart" uri="{C3380CC4-5D6E-409C-BE32-E72D297353CC}">
              <c16:uniqueId val="{00000004-79ED-475D-8506-469DDC69E48B}"/>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2: Počet datasetov podľa tagov (kľúčových slov)</a:t>
            </a:r>
          </a:p>
        </c:rich>
      </c:tx>
      <c:layout>
        <c:manualLayout>
          <c:xMode val="edge"/>
          <c:yMode val="edge"/>
          <c:x val="0.20376470588235293"/>
          <c:y val="0.88262499999999999"/>
        </c:manualLayout>
      </c:layout>
      <c:overlay val="0"/>
    </c:title>
    <c:autoTitleDeleted val="0"/>
    <c:view3D>
      <c:rotX val="30"/>
      <c:rotY val="90"/>
      <c:rAngAx val="1"/>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0"/>
          <c:y val="9.0000000000000011E-3"/>
          <c:w val="0.65741176470588236"/>
          <c:h val="0.83812500000000012"/>
        </c:manualLayout>
      </c:layout>
      <c:pie3DChart>
        <c:varyColors val="1"/>
        <c:ser>
          <c:idx val="0"/>
          <c:order val="0"/>
          <c:tx>
            <c:v>Počet datasetov</c:v>
          </c:tx>
          <c:dPt>
            <c:idx val="0"/>
            <c:bubble3D val="0"/>
            <c:spPr>
              <a:solidFill>
                <a:srgbClr val="81D41A"/>
              </a:solidFill>
            </c:spPr>
            <c:extLst>
              <c:ext xmlns:c16="http://schemas.microsoft.com/office/drawing/2014/chart" uri="{C3380CC4-5D6E-409C-BE32-E72D297353CC}">
                <c16:uniqueId val="{00000001-574C-46B7-90E1-50B8F556AFD6}"/>
              </c:ext>
            </c:extLst>
          </c:dPt>
          <c:dPt>
            <c:idx val="1"/>
            <c:bubble3D val="0"/>
            <c:spPr>
              <a:solidFill>
                <a:srgbClr val="729FCF"/>
              </a:solidFill>
            </c:spPr>
            <c:extLst>
              <c:ext xmlns:c16="http://schemas.microsoft.com/office/drawing/2014/chart" uri="{C3380CC4-5D6E-409C-BE32-E72D297353CC}">
                <c16:uniqueId val="{00000003-574C-46B7-90E1-50B8F556AFD6}"/>
              </c:ext>
            </c:extLst>
          </c:dPt>
          <c:dPt>
            <c:idx val="2"/>
            <c:bubble3D val="0"/>
            <c:spPr>
              <a:solidFill>
                <a:srgbClr val="FF4000"/>
              </a:solidFill>
            </c:spPr>
            <c:extLst>
              <c:ext xmlns:c16="http://schemas.microsoft.com/office/drawing/2014/chart" uri="{C3380CC4-5D6E-409C-BE32-E72D297353CC}">
                <c16:uniqueId val="{00000005-574C-46B7-90E1-50B8F556AFD6}"/>
              </c:ext>
            </c:extLst>
          </c:dPt>
          <c:dPt>
            <c:idx val="3"/>
            <c:bubble3D val="0"/>
            <c:spPr>
              <a:solidFill>
                <a:srgbClr val="FFFF38"/>
              </a:solidFill>
            </c:spPr>
            <c:extLst>
              <c:ext xmlns:c16="http://schemas.microsoft.com/office/drawing/2014/chart" uri="{C3380CC4-5D6E-409C-BE32-E72D297353CC}">
                <c16:uniqueId val="{00000007-574C-46B7-90E1-50B8F556AFD6}"/>
              </c:ext>
            </c:extLst>
          </c:dPt>
          <c:dPt>
            <c:idx val="4"/>
            <c:bubble3D val="0"/>
            <c:spPr>
              <a:solidFill>
                <a:srgbClr val="3FAF46"/>
              </a:solidFill>
            </c:spPr>
            <c:extLst>
              <c:ext xmlns:c16="http://schemas.microsoft.com/office/drawing/2014/chart" uri="{C3380CC4-5D6E-409C-BE32-E72D297353CC}">
                <c16:uniqueId val="{00000009-574C-46B7-90E1-50B8F556AFD6}"/>
              </c:ext>
            </c:extLst>
          </c:dPt>
          <c:dPt>
            <c:idx val="5"/>
            <c:bubble3D val="0"/>
            <c:spPr>
              <a:solidFill>
                <a:srgbClr val="83CAFF"/>
              </a:solidFill>
            </c:spPr>
            <c:extLst>
              <c:ext xmlns:c16="http://schemas.microsoft.com/office/drawing/2014/chart" uri="{C3380CC4-5D6E-409C-BE32-E72D297353CC}">
                <c16:uniqueId val="{0000000B-574C-46B7-90E1-50B8F556AFD6}"/>
              </c:ext>
            </c:extLst>
          </c:dPt>
          <c:dPt>
            <c:idx val="6"/>
            <c:bubble3D val="0"/>
            <c:spPr>
              <a:solidFill>
                <a:srgbClr val="314004"/>
              </a:solidFill>
            </c:spPr>
            <c:extLst>
              <c:ext xmlns:c16="http://schemas.microsoft.com/office/drawing/2014/chart" uri="{C3380CC4-5D6E-409C-BE32-E72D297353CC}">
                <c16:uniqueId val="{0000000D-574C-46B7-90E1-50B8F556AFD6}"/>
              </c:ext>
            </c:extLst>
          </c:dPt>
          <c:dPt>
            <c:idx val="7"/>
            <c:bubble3D val="0"/>
            <c:spPr>
              <a:solidFill>
                <a:srgbClr val="FFD428"/>
              </a:solidFill>
            </c:spPr>
            <c:extLst>
              <c:ext xmlns:c16="http://schemas.microsoft.com/office/drawing/2014/chart" uri="{C3380CC4-5D6E-409C-BE32-E72D297353CC}">
                <c16:uniqueId val="{0000000F-574C-46B7-90E1-50B8F556AFD6}"/>
              </c:ext>
            </c:extLst>
          </c:dPt>
          <c:dPt>
            <c:idx val="8"/>
            <c:bubble3D val="0"/>
            <c:spPr>
              <a:solidFill>
                <a:srgbClr val="999999"/>
              </a:solidFill>
            </c:spPr>
            <c:extLst>
              <c:ext xmlns:c16="http://schemas.microsoft.com/office/drawing/2014/chart" uri="{C3380CC4-5D6E-409C-BE32-E72D297353CC}">
                <c16:uniqueId val="{00000011-574C-46B7-90E1-50B8F556AFD6}"/>
              </c:ext>
            </c:extLst>
          </c:dPt>
          <c:dLbls>
            <c:dLbl>
              <c:idx val="3"/>
              <c:delete val="1"/>
              <c:extLst>
                <c:ext xmlns:c15="http://schemas.microsoft.com/office/drawing/2012/chart" uri="{CE6537A1-D6FC-4f65-9D91-7224C49458BB}"/>
                <c:ext xmlns:c16="http://schemas.microsoft.com/office/drawing/2014/chart" uri="{C3380CC4-5D6E-409C-BE32-E72D297353CC}">
                  <c16:uniqueId val="{00000007-574C-46B7-90E1-50B8F556AFD6}"/>
                </c:ext>
              </c:extLst>
            </c:dLbl>
            <c:dLbl>
              <c:idx val="4"/>
              <c:delete val="1"/>
              <c:extLst>
                <c:ext xmlns:c15="http://schemas.microsoft.com/office/drawing/2012/chart" uri="{CE6537A1-D6FC-4f65-9D91-7224C49458BB}"/>
                <c:ext xmlns:c16="http://schemas.microsoft.com/office/drawing/2014/chart" uri="{C3380CC4-5D6E-409C-BE32-E72D297353CC}">
                  <c16:uniqueId val="{00000009-574C-46B7-90E1-50B8F556AFD6}"/>
                </c:ext>
              </c:extLst>
            </c:dLbl>
            <c:dLbl>
              <c:idx val="5"/>
              <c:delete val="1"/>
              <c:extLst>
                <c:ext xmlns:c15="http://schemas.microsoft.com/office/drawing/2012/chart" uri="{CE6537A1-D6FC-4f65-9D91-7224C49458BB}"/>
                <c:ext xmlns:c16="http://schemas.microsoft.com/office/drawing/2014/chart" uri="{C3380CC4-5D6E-409C-BE32-E72D297353CC}">
                  <c16:uniqueId val="{0000000B-574C-46B7-90E1-50B8F556AFD6}"/>
                </c:ext>
              </c:extLst>
            </c:dLbl>
            <c:dLbl>
              <c:idx val="6"/>
              <c:delete val="1"/>
              <c:extLst>
                <c:ext xmlns:c15="http://schemas.microsoft.com/office/drawing/2012/chart" uri="{CE6537A1-D6FC-4f65-9D91-7224C49458BB}"/>
                <c:ext xmlns:c16="http://schemas.microsoft.com/office/drawing/2014/chart" uri="{C3380CC4-5D6E-409C-BE32-E72D297353CC}">
                  <c16:uniqueId val="{0000000D-574C-46B7-90E1-50B8F556AFD6}"/>
                </c:ext>
              </c:extLst>
            </c:dLbl>
            <c:dLbl>
              <c:idx val="7"/>
              <c:delete val="1"/>
              <c:extLst>
                <c:ext xmlns:c15="http://schemas.microsoft.com/office/drawing/2012/chart" uri="{CE6537A1-D6FC-4f65-9D91-7224C49458BB}"/>
                <c:ext xmlns:c16="http://schemas.microsoft.com/office/drawing/2014/chart" uri="{C3380CC4-5D6E-409C-BE32-E72D297353CC}">
                  <c16:uniqueId val="{0000000F-574C-46B7-90E1-50B8F556AFD6}"/>
                </c:ext>
              </c:extLst>
            </c:dLbl>
            <c:spPr>
              <a:noFill/>
              <a:ln>
                <a:noFill/>
              </a:ln>
              <a:effectLst/>
            </c:spPr>
            <c:txPr>
              <a:bodyPr wrap="square" lIns="38100" tIns="19050" rIns="38100" bIns="19050" anchor="ctr">
                <a:spAutoFit/>
              </a:bodyPr>
              <a:lstStyle/>
              <a:p>
                <a:pPr>
                  <a:defRPr sz="1200" b="1">
                    <a:latin typeface="Liberation Serif" pitchFamily="16"/>
                  </a:defRPr>
                </a:pPr>
                <a:endParaRPr lang="sk-SK"/>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Lit>
              <c:ptCount val="9"/>
              <c:pt idx="0">
                <c:v>štatistika</c:v>
              </c:pt>
              <c:pt idx="1">
                <c:v>číselníky</c:v>
              </c:pt>
              <c:pt idx="2">
                <c:v>voľby</c:v>
              </c:pt>
              <c:pt idx="3">
                <c:v>kľúčové ukazovatele</c:v>
              </c:pt>
              <c:pt idx="4">
                <c:v>poľnohospodárstvo</c:v>
              </c:pt>
              <c:pt idx="5">
                <c:v>parlament</c:v>
              </c:pt>
              <c:pt idx="6">
                <c:v>orgány samosprávnych krajov</c:v>
              </c:pt>
              <c:pt idx="7">
                <c:v>register</c:v>
              </c:pt>
              <c:pt idx="8">
                <c:v>iné</c:v>
              </c:pt>
            </c:strLit>
          </c:cat>
          <c:val>
            <c:numLit>
              <c:formatCode>General</c:formatCode>
              <c:ptCount val="9"/>
              <c:pt idx="0">
                <c:v>659</c:v>
              </c:pt>
              <c:pt idx="1">
                <c:v>207</c:v>
              </c:pt>
              <c:pt idx="2">
                <c:v>201</c:v>
              </c:pt>
              <c:pt idx="3">
                <c:v>98</c:v>
              </c:pt>
              <c:pt idx="4">
                <c:v>86</c:v>
              </c:pt>
              <c:pt idx="5">
                <c:v>66</c:v>
              </c:pt>
              <c:pt idx="6">
                <c:v>65</c:v>
              </c:pt>
              <c:pt idx="7">
                <c:v>62</c:v>
              </c:pt>
              <c:pt idx="8">
                <c:v>932</c:v>
              </c:pt>
            </c:numLit>
          </c:val>
          <c:extLst>
            <c:ext xmlns:c16="http://schemas.microsoft.com/office/drawing/2014/chart" uri="{C3380CC4-5D6E-409C-BE32-E72D297353CC}">
              <c16:uniqueId val="{00000012-574C-46B7-90E1-50B8F556AFD6}"/>
            </c:ext>
          </c:extLst>
        </c:ser>
        <c:dLbls>
          <c:showLegendKey val="0"/>
          <c:showVal val="0"/>
          <c:showCatName val="0"/>
          <c:showSerName val="0"/>
          <c:showPercent val="0"/>
          <c:showBubbleSize val="0"/>
          <c:showLeaderLines val="1"/>
        </c:dLbls>
      </c:pie3DChart>
    </c:plotArea>
    <c:legend>
      <c:legendPos val="r"/>
      <c:layout>
        <c:manualLayout>
          <c:xMode val="edge"/>
          <c:yMode val="edge"/>
          <c:x val="0.65247058823529414"/>
          <c:y val="0.10437500000000001"/>
        </c:manualLayout>
      </c:layout>
      <c:overlay val="0"/>
      <c:spPr>
        <a:noFill/>
        <a:ln>
          <a:noFill/>
        </a:ln>
      </c:spPr>
      <c:txPr>
        <a:bodyPr/>
        <a:lstStyle/>
        <a:p>
          <a:pPr>
            <a:defRPr sz="1200" b="0">
              <a:latin typeface="Liberation Serif" pitchFamily="16"/>
            </a:defRPr>
          </a:pPr>
          <a:endParaRPr lang="sk-SK"/>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3: Typy licencií</a:t>
            </a:r>
          </a:p>
        </c:rich>
      </c:tx>
      <c:layout>
        <c:manualLayout>
          <c:xMode val="edge"/>
          <c:yMode val="edge"/>
          <c:x val="0.38647058823529412"/>
          <c:y val="0.90912500000000007"/>
        </c:manualLayout>
      </c:layout>
      <c:overlay val="0"/>
    </c:title>
    <c:autoTitleDeleted val="0"/>
    <c:view3D>
      <c:rotX val="30"/>
      <c:rotY val="90"/>
      <c:rAngAx val="1"/>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4.4352941176470581E-2"/>
          <c:y val="6.3750000000000005E-3"/>
          <c:w val="0.65711764705882347"/>
          <c:h val="0.83787500000000004"/>
        </c:manualLayout>
      </c:layout>
      <c:pie3DChart>
        <c:varyColors val="1"/>
        <c:ser>
          <c:idx val="0"/>
          <c:order val="0"/>
          <c:tx>
            <c:v>Počet datasetov</c:v>
          </c:tx>
          <c:dPt>
            <c:idx val="0"/>
            <c:bubble3D val="0"/>
            <c:spPr>
              <a:solidFill>
                <a:srgbClr val="81D41A"/>
              </a:solidFill>
            </c:spPr>
            <c:extLst>
              <c:ext xmlns:c16="http://schemas.microsoft.com/office/drawing/2014/chart" uri="{C3380CC4-5D6E-409C-BE32-E72D297353CC}">
                <c16:uniqueId val="{00000001-5962-4157-B8F9-FD3EA9199D17}"/>
              </c:ext>
            </c:extLst>
          </c:dPt>
          <c:dPt>
            <c:idx val="1"/>
            <c:bubble3D val="0"/>
            <c:spPr>
              <a:solidFill>
                <a:srgbClr val="729FCF"/>
              </a:solidFill>
            </c:spPr>
            <c:extLst>
              <c:ext xmlns:c16="http://schemas.microsoft.com/office/drawing/2014/chart" uri="{C3380CC4-5D6E-409C-BE32-E72D297353CC}">
                <c16:uniqueId val="{00000003-5962-4157-B8F9-FD3EA9199D17}"/>
              </c:ext>
            </c:extLst>
          </c:dPt>
          <c:dPt>
            <c:idx val="2"/>
            <c:bubble3D val="0"/>
            <c:spPr>
              <a:solidFill>
                <a:srgbClr val="FFFF38"/>
              </a:solidFill>
            </c:spPr>
            <c:extLst>
              <c:ext xmlns:c16="http://schemas.microsoft.com/office/drawing/2014/chart" uri="{C3380CC4-5D6E-409C-BE32-E72D297353CC}">
                <c16:uniqueId val="{00000005-5962-4157-B8F9-FD3EA9199D17}"/>
              </c:ext>
            </c:extLst>
          </c:dPt>
          <c:dPt>
            <c:idx val="3"/>
            <c:bubble3D val="0"/>
            <c:spPr>
              <a:solidFill>
                <a:srgbClr val="C9211E"/>
              </a:solidFill>
            </c:spPr>
            <c:extLst>
              <c:ext xmlns:c16="http://schemas.microsoft.com/office/drawing/2014/chart" uri="{C3380CC4-5D6E-409C-BE32-E72D297353CC}">
                <c16:uniqueId val="{00000007-5962-4157-B8F9-FD3EA9199D17}"/>
              </c:ext>
            </c:extLst>
          </c:dPt>
          <c:dPt>
            <c:idx val="4"/>
            <c:bubble3D val="0"/>
            <c:spPr>
              <a:solidFill>
                <a:srgbClr val="3FAF46"/>
              </a:solidFill>
            </c:spPr>
            <c:extLst>
              <c:ext xmlns:c16="http://schemas.microsoft.com/office/drawing/2014/chart" uri="{C3380CC4-5D6E-409C-BE32-E72D297353CC}">
                <c16:uniqueId val="{00000009-5962-4157-B8F9-FD3EA9199D17}"/>
              </c:ext>
            </c:extLst>
          </c:dPt>
          <c:dPt>
            <c:idx val="5"/>
            <c:bubble3D val="0"/>
            <c:spPr>
              <a:solidFill>
                <a:srgbClr val="83CAFF"/>
              </a:solidFill>
            </c:spPr>
            <c:extLst>
              <c:ext xmlns:c16="http://schemas.microsoft.com/office/drawing/2014/chart" uri="{C3380CC4-5D6E-409C-BE32-E72D297353CC}">
                <c16:uniqueId val="{0000000B-5962-4157-B8F9-FD3EA9199D17}"/>
              </c:ext>
            </c:extLst>
          </c:dPt>
          <c:dPt>
            <c:idx val="6"/>
            <c:bubble3D val="0"/>
            <c:spPr>
              <a:solidFill>
                <a:srgbClr val="314004"/>
              </a:solidFill>
            </c:spPr>
            <c:extLst>
              <c:ext xmlns:c16="http://schemas.microsoft.com/office/drawing/2014/chart" uri="{C3380CC4-5D6E-409C-BE32-E72D297353CC}">
                <c16:uniqueId val="{0000000D-5962-4157-B8F9-FD3EA9199D17}"/>
              </c:ext>
            </c:extLst>
          </c:dPt>
          <c:dPt>
            <c:idx val="7"/>
            <c:bubble3D val="0"/>
            <c:spPr>
              <a:solidFill>
                <a:srgbClr val="FFA6A6"/>
              </a:solidFill>
            </c:spPr>
            <c:extLst>
              <c:ext xmlns:c16="http://schemas.microsoft.com/office/drawing/2014/chart" uri="{C3380CC4-5D6E-409C-BE32-E72D297353CC}">
                <c16:uniqueId val="{0000000F-5962-4157-B8F9-FD3EA9199D17}"/>
              </c:ext>
            </c:extLst>
          </c:dPt>
          <c:dPt>
            <c:idx val="8"/>
            <c:bubble3D val="0"/>
            <c:spPr>
              <a:solidFill>
                <a:srgbClr val="4B1F6F"/>
              </a:solidFill>
            </c:spPr>
            <c:extLst>
              <c:ext xmlns:c16="http://schemas.microsoft.com/office/drawing/2014/chart" uri="{C3380CC4-5D6E-409C-BE32-E72D297353CC}">
                <c16:uniqueId val="{00000011-5962-4157-B8F9-FD3EA9199D17}"/>
              </c:ext>
            </c:extLst>
          </c:dPt>
          <c:dPt>
            <c:idx val="9"/>
            <c:bubble3D val="0"/>
            <c:spPr>
              <a:solidFill>
                <a:srgbClr val="B4C7DC"/>
              </a:solidFill>
            </c:spPr>
            <c:extLst>
              <c:ext xmlns:c16="http://schemas.microsoft.com/office/drawing/2014/chart" uri="{C3380CC4-5D6E-409C-BE32-E72D297353CC}">
                <c16:uniqueId val="{00000013-5962-4157-B8F9-FD3EA9199D17}"/>
              </c:ext>
            </c:extLst>
          </c:dPt>
          <c:dPt>
            <c:idx val="10"/>
            <c:bubble3D val="0"/>
            <c:spPr>
              <a:solidFill>
                <a:srgbClr val="C9211E"/>
              </a:solidFill>
            </c:spPr>
            <c:extLst>
              <c:ext xmlns:c16="http://schemas.microsoft.com/office/drawing/2014/chart" uri="{C3380CC4-5D6E-409C-BE32-E72D297353CC}">
                <c16:uniqueId val="{00000015-5962-4157-B8F9-FD3EA9199D17}"/>
              </c:ext>
            </c:extLst>
          </c:dPt>
          <c:dLbls>
            <c:dLbl>
              <c:idx val="3"/>
              <c:delete val="1"/>
              <c:extLst>
                <c:ext xmlns:c15="http://schemas.microsoft.com/office/drawing/2012/chart" uri="{CE6537A1-D6FC-4f65-9D91-7224C49458BB}"/>
                <c:ext xmlns:c16="http://schemas.microsoft.com/office/drawing/2014/chart" uri="{C3380CC4-5D6E-409C-BE32-E72D297353CC}">
                  <c16:uniqueId val="{00000007-5962-4157-B8F9-FD3EA9199D17}"/>
                </c:ext>
              </c:extLst>
            </c:dLbl>
            <c:dLbl>
              <c:idx val="4"/>
              <c:delete val="1"/>
              <c:extLst>
                <c:ext xmlns:c15="http://schemas.microsoft.com/office/drawing/2012/chart" uri="{CE6537A1-D6FC-4f65-9D91-7224C49458BB}"/>
                <c:ext xmlns:c16="http://schemas.microsoft.com/office/drawing/2014/chart" uri="{C3380CC4-5D6E-409C-BE32-E72D297353CC}">
                  <c16:uniqueId val="{00000009-5962-4157-B8F9-FD3EA9199D17}"/>
                </c:ext>
              </c:extLst>
            </c:dLbl>
            <c:dLbl>
              <c:idx val="5"/>
              <c:delete val="1"/>
              <c:extLst>
                <c:ext xmlns:c15="http://schemas.microsoft.com/office/drawing/2012/chart" uri="{CE6537A1-D6FC-4f65-9D91-7224C49458BB}"/>
                <c:ext xmlns:c16="http://schemas.microsoft.com/office/drawing/2014/chart" uri="{C3380CC4-5D6E-409C-BE32-E72D297353CC}">
                  <c16:uniqueId val="{0000000B-5962-4157-B8F9-FD3EA9199D17}"/>
                </c:ext>
              </c:extLst>
            </c:dLbl>
            <c:dLbl>
              <c:idx val="6"/>
              <c:delete val="1"/>
              <c:extLst>
                <c:ext xmlns:c15="http://schemas.microsoft.com/office/drawing/2012/chart" uri="{CE6537A1-D6FC-4f65-9D91-7224C49458BB}"/>
                <c:ext xmlns:c16="http://schemas.microsoft.com/office/drawing/2014/chart" uri="{C3380CC4-5D6E-409C-BE32-E72D297353CC}">
                  <c16:uniqueId val="{0000000D-5962-4157-B8F9-FD3EA9199D17}"/>
                </c:ext>
              </c:extLst>
            </c:dLbl>
            <c:dLbl>
              <c:idx val="7"/>
              <c:delete val="1"/>
              <c:extLst>
                <c:ext xmlns:c15="http://schemas.microsoft.com/office/drawing/2012/chart" uri="{CE6537A1-D6FC-4f65-9D91-7224C49458BB}"/>
                <c:ext xmlns:c16="http://schemas.microsoft.com/office/drawing/2014/chart" uri="{C3380CC4-5D6E-409C-BE32-E72D297353CC}">
                  <c16:uniqueId val="{0000000F-5962-4157-B8F9-FD3EA9199D17}"/>
                </c:ext>
              </c:extLst>
            </c:dLbl>
            <c:dLbl>
              <c:idx val="8"/>
              <c:delete val="1"/>
              <c:extLst>
                <c:ext xmlns:c15="http://schemas.microsoft.com/office/drawing/2012/chart" uri="{CE6537A1-D6FC-4f65-9D91-7224C49458BB}"/>
                <c:ext xmlns:c16="http://schemas.microsoft.com/office/drawing/2014/chart" uri="{C3380CC4-5D6E-409C-BE32-E72D297353CC}">
                  <c16:uniqueId val="{00000011-5962-4157-B8F9-FD3EA9199D17}"/>
                </c:ext>
              </c:extLst>
            </c:dLbl>
            <c:dLbl>
              <c:idx val="9"/>
              <c:delete val="1"/>
              <c:extLst>
                <c:ext xmlns:c15="http://schemas.microsoft.com/office/drawing/2012/chart" uri="{CE6537A1-D6FC-4f65-9D91-7224C49458BB}"/>
                <c:ext xmlns:c16="http://schemas.microsoft.com/office/drawing/2014/chart" uri="{C3380CC4-5D6E-409C-BE32-E72D297353CC}">
                  <c16:uniqueId val="{00000013-5962-4157-B8F9-FD3EA9199D17}"/>
                </c:ext>
              </c:extLst>
            </c:dLbl>
            <c:dLbl>
              <c:idx val="10"/>
              <c:delete val="1"/>
              <c:extLst>
                <c:ext xmlns:c15="http://schemas.microsoft.com/office/drawing/2012/chart" uri="{CE6537A1-D6FC-4f65-9D91-7224C49458BB}"/>
                <c:ext xmlns:c16="http://schemas.microsoft.com/office/drawing/2014/chart" uri="{C3380CC4-5D6E-409C-BE32-E72D297353CC}">
                  <c16:uniqueId val="{00000015-5962-4157-B8F9-FD3EA9199D17}"/>
                </c:ext>
              </c:extLst>
            </c:dLbl>
            <c:spPr>
              <a:noFill/>
              <a:ln>
                <a:noFill/>
              </a:ln>
              <a:effectLst/>
            </c:spPr>
            <c:txPr>
              <a:bodyPr wrap="square" lIns="38100" tIns="19050" rIns="38100" bIns="19050" anchor="ctr">
                <a:spAutoFit/>
              </a:bodyPr>
              <a:lstStyle/>
              <a:p>
                <a:pPr>
                  <a:defRPr sz="1200" b="1">
                    <a:latin typeface="Liberation Serif" pitchFamily="16"/>
                  </a:defRPr>
                </a:pPr>
                <a:endParaRPr lang="sk-SK"/>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Lit>
              <c:ptCount val="11"/>
              <c:pt idx="0">
                <c:v>CC0</c:v>
              </c:pt>
              <c:pt idx="1">
                <c:v>CC-BY</c:v>
              </c:pt>
              <c:pt idx="2">
                <c:v>CC-BY-SA</c:v>
              </c:pt>
              <c:pt idx="3">
                <c:v>CC-NC</c:v>
              </c:pt>
              <c:pt idx="4">
                <c:v>GNU FDL</c:v>
              </c:pt>
              <c:pt idx="5">
                <c:v>ODC-BY</c:v>
              </c:pt>
              <c:pt idx="6">
                <c:v>iná anonymná</c:v>
              </c:pt>
              <c:pt idx="7">
                <c:v>iná nekomerčná</c:v>
              </c:pt>
              <c:pt idx="8">
                <c:v>neotvorená</c:v>
              </c:pt>
              <c:pt idx="9">
                <c:v>iná</c:v>
              </c:pt>
              <c:pt idx="10">
                <c:v>neuvedená</c:v>
              </c:pt>
            </c:strLit>
          </c:cat>
          <c:val>
            <c:numLit>
              <c:formatCode>General</c:formatCode>
              <c:ptCount val="11"/>
              <c:pt idx="0">
                <c:v>0.31374663072776299</c:v>
              </c:pt>
              <c:pt idx="1">
                <c:v>7.8706199460916407E-2</c:v>
              </c:pt>
              <c:pt idx="2">
                <c:v>0.52506738544474396</c:v>
              </c:pt>
              <c:pt idx="3">
                <c:v>3.77358490566038E-3</c:v>
              </c:pt>
              <c:pt idx="4">
                <c:v>1.07816711590297E-2</c:v>
              </c:pt>
              <c:pt idx="5">
                <c:v>1.07816711590297E-3</c:v>
              </c:pt>
              <c:pt idx="6">
                <c:v>4.3126684636118602E-3</c:v>
              </c:pt>
              <c:pt idx="7">
                <c:v>5.4447439353099703E-2</c:v>
              </c:pt>
              <c:pt idx="8">
                <c:v>1.07816711590297E-3</c:v>
              </c:pt>
              <c:pt idx="9">
                <c:v>4.8517520215633396E-3</c:v>
              </c:pt>
              <c:pt idx="10">
                <c:v>2.1563342318059301E-3</c:v>
              </c:pt>
            </c:numLit>
          </c:val>
          <c:extLst>
            <c:ext xmlns:c16="http://schemas.microsoft.com/office/drawing/2014/chart" uri="{C3380CC4-5D6E-409C-BE32-E72D297353CC}">
              <c16:uniqueId val="{00000016-5962-4157-B8F9-FD3EA9199D17}"/>
            </c:ext>
          </c:extLst>
        </c:ser>
        <c:dLbls>
          <c:showLegendKey val="0"/>
          <c:showVal val="0"/>
          <c:showCatName val="0"/>
          <c:showSerName val="0"/>
          <c:showPercent val="0"/>
          <c:showBubbleSize val="0"/>
          <c:showLeaderLines val="1"/>
        </c:dLbls>
      </c:pie3DChart>
    </c:plotArea>
    <c:legend>
      <c:legendPos val="r"/>
      <c:layout>
        <c:manualLayout>
          <c:xMode val="edge"/>
          <c:yMode val="edge"/>
          <c:x val="0.78494117647058814"/>
          <c:y val="9.35E-2"/>
        </c:manualLayout>
      </c:layout>
      <c:overlay val="0"/>
      <c:spPr>
        <a:noFill/>
        <a:ln>
          <a:noFill/>
        </a:ln>
      </c:spPr>
      <c:txPr>
        <a:bodyPr/>
        <a:lstStyle/>
        <a:p>
          <a:pPr>
            <a:defRPr sz="1200" b="0">
              <a:latin typeface="Liberation Serif" pitchFamily="16"/>
            </a:defRPr>
          </a:pPr>
          <a:endParaRPr lang="sk-SK"/>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4: Formáty datasetov</a:t>
            </a:r>
          </a:p>
        </c:rich>
      </c:tx>
      <c:layout>
        <c:manualLayout>
          <c:xMode val="edge"/>
          <c:yMode val="edge"/>
          <c:x val="0.35364705882352943"/>
          <c:y val="0.9029996913580246"/>
        </c:manualLayout>
      </c:layout>
      <c:overlay val="0"/>
    </c:title>
    <c:autoTitleDeleted val="0"/>
    <c:view3D>
      <c:rotX val="30"/>
      <c:rotY val="90"/>
      <c:rAngAx val="1"/>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3.8235294117647057E-3"/>
          <c:y val="3.8888888888888888E-3"/>
          <c:w val="0.92652941176470593"/>
          <c:h val="0.84077746913580242"/>
        </c:manualLayout>
      </c:layout>
      <c:pie3DChart>
        <c:varyColors val="1"/>
        <c:ser>
          <c:idx val="0"/>
          <c:order val="0"/>
          <c:tx>
            <c:v>Počet datasetov</c:v>
          </c:tx>
          <c:dPt>
            <c:idx val="0"/>
            <c:bubble3D val="0"/>
            <c:spPr>
              <a:solidFill>
                <a:srgbClr val="81D41A"/>
              </a:solidFill>
            </c:spPr>
            <c:extLst>
              <c:ext xmlns:c16="http://schemas.microsoft.com/office/drawing/2014/chart" uri="{C3380CC4-5D6E-409C-BE32-E72D297353CC}">
                <c16:uniqueId val="{00000001-6204-448F-8E98-DFC3BC373D61}"/>
              </c:ext>
            </c:extLst>
          </c:dPt>
          <c:dPt>
            <c:idx val="1"/>
            <c:bubble3D val="0"/>
            <c:spPr>
              <a:solidFill>
                <a:srgbClr val="3465A4"/>
              </a:solidFill>
            </c:spPr>
            <c:extLst>
              <c:ext xmlns:c16="http://schemas.microsoft.com/office/drawing/2014/chart" uri="{C3380CC4-5D6E-409C-BE32-E72D297353CC}">
                <c16:uniqueId val="{00000003-6204-448F-8E98-DFC3BC373D61}"/>
              </c:ext>
            </c:extLst>
          </c:dPt>
          <c:dPt>
            <c:idx val="2"/>
            <c:bubble3D val="0"/>
            <c:spPr>
              <a:solidFill>
                <a:srgbClr val="FFD320"/>
              </a:solidFill>
            </c:spPr>
            <c:extLst>
              <c:ext xmlns:c16="http://schemas.microsoft.com/office/drawing/2014/chart" uri="{C3380CC4-5D6E-409C-BE32-E72D297353CC}">
                <c16:uniqueId val="{00000005-6204-448F-8E98-DFC3BC373D61}"/>
              </c:ext>
            </c:extLst>
          </c:dPt>
          <c:dPt>
            <c:idx val="3"/>
            <c:bubble3D val="0"/>
            <c:spPr>
              <a:solidFill>
                <a:srgbClr val="127622"/>
              </a:solidFill>
            </c:spPr>
            <c:extLst>
              <c:ext xmlns:c16="http://schemas.microsoft.com/office/drawing/2014/chart" uri="{C3380CC4-5D6E-409C-BE32-E72D297353CC}">
                <c16:uniqueId val="{00000007-6204-448F-8E98-DFC3BC373D61}"/>
              </c:ext>
            </c:extLst>
          </c:dPt>
          <c:dPt>
            <c:idx val="4"/>
            <c:bubble3D val="0"/>
            <c:spPr>
              <a:solidFill>
                <a:srgbClr val="FFA6A6"/>
              </a:solidFill>
            </c:spPr>
            <c:extLst>
              <c:ext xmlns:c16="http://schemas.microsoft.com/office/drawing/2014/chart" uri="{C3380CC4-5D6E-409C-BE32-E72D297353CC}">
                <c16:uniqueId val="{00000009-6204-448F-8E98-DFC3BC373D61}"/>
              </c:ext>
            </c:extLst>
          </c:dPt>
          <c:dPt>
            <c:idx val="5"/>
            <c:bubble3D val="0"/>
            <c:spPr>
              <a:solidFill>
                <a:srgbClr val="FF0000"/>
              </a:solidFill>
            </c:spPr>
            <c:extLst>
              <c:ext xmlns:c16="http://schemas.microsoft.com/office/drawing/2014/chart" uri="{C3380CC4-5D6E-409C-BE32-E72D297353CC}">
                <c16:uniqueId val="{0000000B-6204-448F-8E98-DFC3BC373D61}"/>
              </c:ext>
            </c:extLst>
          </c:dPt>
          <c:dPt>
            <c:idx val="6"/>
            <c:bubble3D val="0"/>
            <c:spPr>
              <a:solidFill>
                <a:srgbClr val="FFFF38"/>
              </a:solidFill>
            </c:spPr>
            <c:extLst>
              <c:ext xmlns:c16="http://schemas.microsoft.com/office/drawing/2014/chart" uri="{C3380CC4-5D6E-409C-BE32-E72D297353CC}">
                <c16:uniqueId val="{0000000D-6204-448F-8E98-DFC3BC373D61}"/>
              </c:ext>
            </c:extLst>
          </c:dPt>
          <c:dPt>
            <c:idx val="7"/>
            <c:bubble3D val="0"/>
            <c:spPr>
              <a:solidFill>
                <a:srgbClr val="1C1C1C"/>
              </a:solidFill>
            </c:spPr>
            <c:extLst>
              <c:ext xmlns:c16="http://schemas.microsoft.com/office/drawing/2014/chart" uri="{C3380CC4-5D6E-409C-BE32-E72D297353CC}">
                <c16:uniqueId val="{0000000F-6204-448F-8E98-DFC3BC373D61}"/>
              </c:ext>
            </c:extLst>
          </c:dPt>
          <c:dLbls>
            <c:dLbl>
              <c:idx val="4"/>
              <c:delete val="1"/>
              <c:extLst>
                <c:ext xmlns:c15="http://schemas.microsoft.com/office/drawing/2012/chart" uri="{CE6537A1-D6FC-4f65-9D91-7224C49458BB}"/>
                <c:ext xmlns:c16="http://schemas.microsoft.com/office/drawing/2014/chart" uri="{C3380CC4-5D6E-409C-BE32-E72D297353CC}">
                  <c16:uniqueId val="{00000009-6204-448F-8E98-DFC3BC373D61}"/>
                </c:ext>
              </c:extLst>
            </c:dLbl>
            <c:dLbl>
              <c:idx val="5"/>
              <c:delete val="1"/>
              <c:extLst>
                <c:ext xmlns:c15="http://schemas.microsoft.com/office/drawing/2012/chart" uri="{CE6537A1-D6FC-4f65-9D91-7224C49458BB}"/>
                <c:ext xmlns:c16="http://schemas.microsoft.com/office/drawing/2014/chart" uri="{C3380CC4-5D6E-409C-BE32-E72D297353CC}">
                  <c16:uniqueId val="{0000000B-6204-448F-8E98-DFC3BC373D61}"/>
                </c:ext>
              </c:extLst>
            </c:dLbl>
            <c:dLbl>
              <c:idx val="6"/>
              <c:delete val="1"/>
              <c:extLst>
                <c:ext xmlns:c15="http://schemas.microsoft.com/office/drawing/2012/chart" uri="{CE6537A1-D6FC-4f65-9D91-7224C49458BB}"/>
                <c:ext xmlns:c16="http://schemas.microsoft.com/office/drawing/2014/chart" uri="{C3380CC4-5D6E-409C-BE32-E72D297353CC}">
                  <c16:uniqueId val="{0000000D-6204-448F-8E98-DFC3BC373D61}"/>
                </c:ext>
              </c:extLst>
            </c:dLbl>
            <c:dLbl>
              <c:idx val="7"/>
              <c:delete val="1"/>
              <c:extLst>
                <c:ext xmlns:c15="http://schemas.microsoft.com/office/drawing/2012/chart" uri="{CE6537A1-D6FC-4f65-9D91-7224C49458BB}"/>
                <c:ext xmlns:c16="http://schemas.microsoft.com/office/drawing/2014/chart" uri="{C3380CC4-5D6E-409C-BE32-E72D297353CC}">
                  <c16:uniqueId val="{0000000F-6204-448F-8E98-DFC3BC373D61}"/>
                </c:ext>
              </c:extLst>
            </c:dLbl>
            <c:spPr>
              <a:noFill/>
              <a:ln>
                <a:noFill/>
              </a:ln>
              <a:effectLst/>
            </c:spPr>
            <c:txPr>
              <a:bodyPr wrap="square" lIns="38100" tIns="19050" rIns="38100" bIns="19050" anchor="ctr">
                <a:spAutoFit/>
              </a:bodyPr>
              <a:lstStyle/>
              <a:p>
                <a:pPr>
                  <a:defRPr sz="1200" b="1">
                    <a:latin typeface="Liberation Serif" pitchFamily="16"/>
                  </a:defRPr>
                </a:pPr>
                <a:endParaRPr lang="sk-SK"/>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Lit>
              <c:ptCount val="8"/>
              <c:pt idx="0">
                <c:v>CSV</c:v>
              </c:pt>
              <c:pt idx="1">
                <c:v>XML</c:v>
              </c:pt>
              <c:pt idx="2">
                <c:v>HTML/XHTML</c:v>
              </c:pt>
              <c:pt idx="3">
                <c:v>XLSX</c:v>
              </c:pt>
              <c:pt idx="4">
                <c:v>PDF</c:v>
              </c:pt>
              <c:pt idx="5">
                <c:v>XLS</c:v>
              </c:pt>
              <c:pt idx="6">
                <c:v>JSON</c:v>
              </c:pt>
              <c:pt idx="7">
                <c:v>iné spolu</c:v>
              </c:pt>
            </c:strLit>
          </c:cat>
          <c:val>
            <c:numLit>
              <c:formatCode>General</c:formatCode>
              <c:ptCount val="8"/>
              <c:pt idx="0">
                <c:v>0.35274975593882202</c:v>
              </c:pt>
              <c:pt idx="1">
                <c:v>0.241457858769932</c:v>
              </c:pt>
              <c:pt idx="2">
                <c:v>0.12268141880898099</c:v>
              </c:pt>
              <c:pt idx="3">
                <c:v>0.104783599088838</c:v>
              </c:pt>
              <c:pt idx="4">
                <c:v>5.8249267816465999E-2</c:v>
              </c:pt>
              <c:pt idx="5">
                <c:v>4.29547673283436E-2</c:v>
              </c:pt>
              <c:pt idx="6">
                <c:v>2.8636511552229099E-2</c:v>
              </c:pt>
              <c:pt idx="7">
                <c:v>4.8486820696387899E-2</c:v>
              </c:pt>
            </c:numLit>
          </c:val>
          <c:extLst>
            <c:ext xmlns:c16="http://schemas.microsoft.com/office/drawing/2014/chart" uri="{C3380CC4-5D6E-409C-BE32-E72D297353CC}">
              <c16:uniqueId val="{00000010-6204-448F-8E98-DFC3BC373D61}"/>
            </c:ext>
          </c:extLst>
        </c:ser>
        <c:dLbls>
          <c:showLegendKey val="0"/>
          <c:showVal val="0"/>
          <c:showCatName val="0"/>
          <c:showSerName val="0"/>
          <c:showPercent val="0"/>
          <c:showBubbleSize val="0"/>
          <c:showLeaderLines val="1"/>
        </c:dLbls>
      </c:pie3DChart>
    </c:plotArea>
    <c:legend>
      <c:legendPos val="r"/>
      <c:layout>
        <c:manualLayout>
          <c:xMode val="edge"/>
          <c:yMode val="edge"/>
          <c:x val="0.84541060986241523"/>
          <c:y val="2.8600178407726492E-2"/>
          <c:w val="0.14058186173859116"/>
          <c:h val="0.78873870676004765"/>
        </c:manualLayout>
      </c:layout>
      <c:overlay val="0"/>
      <c:spPr>
        <a:noFill/>
        <a:ln>
          <a:noFill/>
        </a:ln>
      </c:spPr>
      <c:txPr>
        <a:bodyPr/>
        <a:lstStyle/>
        <a:p>
          <a:pPr>
            <a:defRPr sz="1200" b="0">
              <a:latin typeface="Liberation Serif" pitchFamily="16"/>
            </a:defRPr>
          </a:pPr>
          <a:endParaRPr lang="sk-SK"/>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5: Počet datasetov podľa pravidelnosti aktualizácie</a:t>
            </a:r>
          </a:p>
        </c:rich>
      </c:tx>
      <c:layout>
        <c:manualLayout>
          <c:xMode val="edge"/>
          <c:yMode val="edge"/>
          <c:x val="0.19417647058823528"/>
          <c:y val="0.88742857142857146"/>
        </c:manualLayout>
      </c:layout>
      <c:overlay val="0"/>
    </c:title>
    <c:autoTitleDeleted val="0"/>
    <c:plotArea>
      <c:layout>
        <c:manualLayout>
          <c:layoutTarget val="inner"/>
          <c:xMode val="edge"/>
          <c:yMode val="edge"/>
          <c:x val="9.0332780727821513E-2"/>
          <c:y val="0.10335136679343655"/>
          <c:w val="0.88683853814734714"/>
          <c:h val="0.51912042740689157"/>
        </c:manualLayout>
      </c:layout>
      <c:barChart>
        <c:barDir val="col"/>
        <c:grouping val="clustered"/>
        <c:varyColors val="0"/>
        <c:ser>
          <c:idx val="0"/>
          <c:order val="0"/>
          <c:tx>
            <c:v>Počet datasetov</c:v>
          </c:tx>
          <c:spPr>
            <a:solidFill>
              <a:srgbClr val="004586"/>
            </a:solidFill>
            <a:ln>
              <a:noFill/>
            </a:ln>
          </c:spPr>
          <c:invertIfNegative val="0"/>
          <c:cat>
            <c:strLit>
              <c:ptCount val="9"/>
              <c:pt idx="0">
                <c:v>denná</c:v>
              </c:pt>
              <c:pt idx="1">
                <c:v>týždenná</c:v>
              </c:pt>
              <c:pt idx="2">
                <c:v>mesačná</c:v>
              </c:pt>
              <c:pt idx="3">
                <c:v>kvartálna</c:v>
              </c:pt>
              <c:pt idx="4">
                <c:v>ročná</c:v>
              </c:pt>
              <c:pt idx="5">
                <c:v>viacročná</c:v>
              </c:pt>
              <c:pt idx="6">
                <c:v>nepravidelná</c:v>
              </c:pt>
              <c:pt idx="7">
                <c:v>iná</c:v>
              </c:pt>
              <c:pt idx="8">
                <c:v>neuvedená</c:v>
              </c:pt>
            </c:strLit>
          </c:cat>
          <c:val>
            <c:numLit>
              <c:formatCode>General</c:formatCode>
              <c:ptCount val="9"/>
              <c:pt idx="0">
                <c:v>236</c:v>
              </c:pt>
              <c:pt idx="1">
                <c:v>10</c:v>
              </c:pt>
              <c:pt idx="2">
                <c:v>699</c:v>
              </c:pt>
              <c:pt idx="3">
                <c:v>96</c:v>
              </c:pt>
              <c:pt idx="4">
                <c:v>749</c:v>
              </c:pt>
              <c:pt idx="5">
                <c:v>100</c:v>
              </c:pt>
              <c:pt idx="6">
                <c:v>515</c:v>
              </c:pt>
              <c:pt idx="7">
                <c:v>4670</c:v>
              </c:pt>
              <c:pt idx="8">
                <c:v>7</c:v>
              </c:pt>
            </c:numLit>
          </c:val>
          <c:extLst>
            <c:ext xmlns:c16="http://schemas.microsoft.com/office/drawing/2014/chart" uri="{C3380CC4-5D6E-409C-BE32-E72D297353CC}">
              <c16:uniqueId val="{00000000-35A0-47C1-8550-9CFE97571FCD}"/>
            </c:ext>
          </c:extLst>
        </c:ser>
        <c:dLbls>
          <c:showLegendKey val="0"/>
          <c:showVal val="0"/>
          <c:showCatName val="0"/>
          <c:showSerName val="0"/>
          <c:showPercent val="0"/>
          <c:showBubbleSize val="0"/>
        </c:dLbls>
        <c:gapWidth val="150"/>
        <c:axId val="224115856"/>
        <c:axId val="224115528"/>
      </c:barChart>
      <c:valAx>
        <c:axId val="224115528"/>
        <c:scaling>
          <c:orientation val="minMax"/>
        </c:scaling>
        <c:delete val="0"/>
        <c:axPos val="l"/>
        <c:majorGridlines>
          <c:spPr>
            <a:ln>
              <a:solidFill>
                <a:srgbClr val="B3B3B3"/>
              </a:solidFill>
            </a:ln>
          </c:spPr>
        </c:majorGridlines>
        <c:numFmt formatCode="General" sourceLinked="0"/>
        <c:majorTickMark val="none"/>
        <c:minorTickMark val="none"/>
        <c:tickLblPos val="nextTo"/>
        <c:spPr>
          <a:ln>
            <a:solidFill>
              <a:srgbClr val="B3B3B3"/>
            </a:solidFill>
          </a:ln>
        </c:spPr>
        <c:txPr>
          <a:bodyPr/>
          <a:lstStyle/>
          <a:p>
            <a:pPr>
              <a:defRPr sz="1200" b="0">
                <a:latin typeface="Liberation Serif" pitchFamily="16"/>
              </a:defRPr>
            </a:pPr>
            <a:endParaRPr lang="sk-SK"/>
          </a:p>
        </c:txPr>
        <c:crossAx val="224115856"/>
        <c:crossesAt val="1"/>
        <c:crossBetween val="between"/>
      </c:valAx>
      <c:catAx>
        <c:axId val="224115856"/>
        <c:scaling>
          <c:orientation val="minMax"/>
        </c:scaling>
        <c:delete val="0"/>
        <c:axPos val="b"/>
        <c:numFmt formatCode="General" sourceLinked="0"/>
        <c:majorTickMark val="none"/>
        <c:minorTickMark val="none"/>
        <c:tickLblPos val="nextTo"/>
        <c:spPr>
          <a:ln>
            <a:solidFill>
              <a:srgbClr val="B3B3B3"/>
            </a:solidFill>
          </a:ln>
        </c:spPr>
        <c:txPr>
          <a:bodyPr/>
          <a:lstStyle/>
          <a:p>
            <a:pPr>
              <a:defRPr sz="1000" b="0">
                <a:latin typeface="Liberation Serif" pitchFamily="16"/>
              </a:defRPr>
            </a:pPr>
            <a:endParaRPr lang="sk-SK"/>
          </a:p>
        </c:txPr>
        <c:crossAx val="224115528"/>
        <c:crossesAt val="0"/>
        <c:auto val="1"/>
        <c:lblAlgn val="ctr"/>
        <c:lblOffset val="100"/>
        <c:noMultiLvlLbl val="0"/>
      </c:catAx>
      <c:spPr>
        <a:noFill/>
        <a:ln>
          <a:solidFill>
            <a:srgbClr val="B3B3B3"/>
          </a:solidFill>
          <a:prstDash val="solid"/>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6: Podiel datasetov s aktualizáciou</a:t>
            </a:r>
          </a:p>
        </c:rich>
      </c:tx>
      <c:layout>
        <c:manualLayout>
          <c:xMode val="edge"/>
          <c:yMode val="edge"/>
          <c:x val="0.16871193527861103"/>
          <c:y val="0.8716596982366841"/>
        </c:manualLayout>
      </c:layout>
      <c:overlay val="0"/>
    </c:title>
    <c:autoTitleDeleted val="0"/>
    <c:view3D>
      <c:rotX val="30"/>
      <c:rotY val="90"/>
      <c:rAngAx val="1"/>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0"/>
          <c:y val="1.9814579167424105E-2"/>
          <c:w val="0.6807562948822834"/>
          <c:h val="0.81676058898382109"/>
        </c:manualLayout>
      </c:layout>
      <c:pie3DChart>
        <c:varyColors val="1"/>
        <c:ser>
          <c:idx val="0"/>
          <c:order val="0"/>
          <c:tx>
            <c:v>Počet datasetov</c:v>
          </c:tx>
          <c:dPt>
            <c:idx val="0"/>
            <c:bubble3D val="0"/>
            <c:spPr>
              <a:solidFill>
                <a:srgbClr val="729FCF"/>
              </a:solidFill>
            </c:spPr>
            <c:extLst>
              <c:ext xmlns:c16="http://schemas.microsoft.com/office/drawing/2014/chart" uri="{C3380CC4-5D6E-409C-BE32-E72D297353CC}">
                <c16:uniqueId val="{00000001-8048-450B-809A-067161B48D2E}"/>
              </c:ext>
            </c:extLst>
          </c:dPt>
          <c:dPt>
            <c:idx val="1"/>
            <c:bubble3D val="0"/>
            <c:spPr>
              <a:solidFill>
                <a:srgbClr val="FF420E"/>
              </a:solidFill>
            </c:spPr>
            <c:extLst>
              <c:ext xmlns:c16="http://schemas.microsoft.com/office/drawing/2014/chart" uri="{C3380CC4-5D6E-409C-BE32-E72D297353CC}">
                <c16:uniqueId val="{00000003-8048-450B-809A-067161B48D2E}"/>
              </c:ext>
            </c:extLst>
          </c:dPt>
          <c:dLbls>
            <c:spPr>
              <a:noFill/>
              <a:ln>
                <a:noFill/>
              </a:ln>
              <a:effectLst/>
            </c:spPr>
            <c:txPr>
              <a:bodyPr wrap="square" lIns="38100" tIns="19050" rIns="38100" bIns="19050" anchor="ctr">
                <a:spAutoFit/>
              </a:bodyPr>
              <a:lstStyle/>
              <a:p>
                <a:pPr>
                  <a:defRPr sz="1200" b="1">
                    <a:solidFill>
                      <a:srgbClr val="FFFFFF"/>
                    </a:solidFill>
                    <a:latin typeface="Liberation Serif" pitchFamily="16"/>
                  </a:defRPr>
                </a:pPr>
                <a:endParaRPr lang="sk-SK"/>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Lit>
              <c:ptCount val="2"/>
              <c:pt idx="0">
                <c:v>aktualizovaný</c:v>
              </c:pt>
              <c:pt idx="1">
                <c:v>neaktualizovaný</c:v>
              </c:pt>
            </c:strLit>
          </c:cat>
          <c:val>
            <c:numLit>
              <c:formatCode>General</c:formatCode>
              <c:ptCount val="2"/>
              <c:pt idx="0">
                <c:v>1565</c:v>
              </c:pt>
              <c:pt idx="1">
                <c:v>5517</c:v>
              </c:pt>
            </c:numLit>
          </c:val>
          <c:extLst>
            <c:ext xmlns:c16="http://schemas.microsoft.com/office/drawing/2014/chart" uri="{C3380CC4-5D6E-409C-BE32-E72D297353CC}">
              <c16:uniqueId val="{00000004-8048-450B-809A-067161B48D2E}"/>
            </c:ext>
          </c:extLst>
        </c:ser>
        <c:dLbls>
          <c:showLegendKey val="0"/>
          <c:showVal val="0"/>
          <c:showCatName val="0"/>
          <c:showSerName val="0"/>
          <c:showPercent val="0"/>
          <c:showBubbleSize val="0"/>
          <c:showLeaderLines val="1"/>
        </c:dLbls>
      </c:pie3DChart>
    </c:plotArea>
    <c:legend>
      <c:legendPos val="r"/>
      <c:layout>
        <c:manualLayout>
          <c:xMode val="edge"/>
          <c:yMode val="edge"/>
          <c:x val="0.6882101627124807"/>
          <c:y val="0.25486224726817347"/>
        </c:manualLayout>
      </c:layout>
      <c:overlay val="0"/>
      <c:spPr>
        <a:noFill/>
        <a:ln>
          <a:noFill/>
        </a:ln>
      </c:spPr>
      <c:txPr>
        <a:bodyPr/>
        <a:lstStyle/>
        <a:p>
          <a:pPr>
            <a:defRPr sz="1200" b="0">
              <a:latin typeface="Liberation Serif" pitchFamily="16"/>
            </a:defRPr>
          </a:pPr>
          <a:endParaRPr lang="sk-SK"/>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7: Počet aktuálnych datasetov podľa rokov</a:t>
            </a:r>
          </a:p>
        </c:rich>
      </c:tx>
      <c:layout>
        <c:manualLayout>
          <c:xMode val="edge"/>
          <c:yMode val="edge"/>
          <c:x val="0.23735294117647057"/>
          <c:y val="0.89266635802469141"/>
        </c:manualLayout>
      </c:layout>
      <c:overlay val="0"/>
    </c:title>
    <c:autoTitleDeleted val="0"/>
    <c:plotArea>
      <c:layout>
        <c:manualLayout>
          <c:layoutTarget val="inner"/>
          <c:xMode val="edge"/>
          <c:yMode val="edge"/>
          <c:x val="9.0332780727821513E-2"/>
          <c:y val="4.1199838260123411E-2"/>
          <c:w val="0.7164445759004624"/>
          <c:h val="0.72295286393787217"/>
        </c:manualLayout>
      </c:layout>
      <c:barChart>
        <c:barDir val="col"/>
        <c:grouping val="clustered"/>
        <c:varyColors val="0"/>
        <c:ser>
          <c:idx val="0"/>
          <c:order val="0"/>
          <c:tx>
            <c:v>zverejnený</c:v>
          </c:tx>
          <c:spPr>
            <a:solidFill>
              <a:srgbClr val="004586"/>
            </a:solidFill>
            <a:ln>
              <a:noFill/>
            </a:ln>
          </c:spPr>
          <c:invertIfNegative val="0"/>
          <c:cat>
            <c:numLit>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Lit>
          </c:cat>
          <c:val>
            <c:numLit>
              <c:formatCode>General</c:formatCode>
              <c:ptCount val="16"/>
              <c:pt idx="0">
                <c:v>3</c:v>
              </c:pt>
              <c:pt idx="1">
                <c:v>2</c:v>
              </c:pt>
              <c:pt idx="2">
                <c:v>0</c:v>
              </c:pt>
              <c:pt idx="3">
                <c:v>22</c:v>
              </c:pt>
              <c:pt idx="4">
                <c:v>6</c:v>
              </c:pt>
              <c:pt idx="5">
                <c:v>4</c:v>
              </c:pt>
              <c:pt idx="6">
                <c:v>9</c:v>
              </c:pt>
              <c:pt idx="7">
                <c:v>6</c:v>
              </c:pt>
              <c:pt idx="8">
                <c:v>38</c:v>
              </c:pt>
              <c:pt idx="9">
                <c:v>9</c:v>
              </c:pt>
              <c:pt idx="10">
                <c:v>491</c:v>
              </c:pt>
              <c:pt idx="11">
                <c:v>2021</c:v>
              </c:pt>
              <c:pt idx="12">
                <c:v>1133</c:v>
              </c:pt>
              <c:pt idx="13">
                <c:v>1277</c:v>
              </c:pt>
              <c:pt idx="14">
                <c:v>1863</c:v>
              </c:pt>
              <c:pt idx="15">
                <c:v>198</c:v>
              </c:pt>
            </c:numLit>
          </c:val>
          <c:extLst>
            <c:ext xmlns:c16="http://schemas.microsoft.com/office/drawing/2014/chart" uri="{C3380CC4-5D6E-409C-BE32-E72D297353CC}">
              <c16:uniqueId val="{00000000-7726-4345-BEA0-51C066126CCB}"/>
            </c:ext>
          </c:extLst>
        </c:ser>
        <c:ser>
          <c:idx val="1"/>
          <c:order val="1"/>
          <c:tx>
            <c:v>aktuálny</c:v>
          </c:tx>
          <c:spPr>
            <a:solidFill>
              <a:srgbClr val="FF420E"/>
            </a:solidFill>
            <a:ln>
              <a:noFill/>
            </a:ln>
          </c:spPr>
          <c:invertIfNegative val="0"/>
          <c:cat>
            <c:numLit>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Lit>
          </c:cat>
          <c:val>
            <c:numLit>
              <c:formatCode>General</c:formatCode>
              <c:ptCount val="16"/>
              <c:pt idx="0">
                <c:v>3</c:v>
              </c:pt>
              <c:pt idx="1">
                <c:v>0</c:v>
              </c:pt>
              <c:pt idx="2">
                <c:v>0</c:v>
              </c:pt>
              <c:pt idx="3">
                <c:v>4</c:v>
              </c:pt>
              <c:pt idx="4">
                <c:v>6</c:v>
              </c:pt>
              <c:pt idx="5">
                <c:v>4</c:v>
              </c:pt>
              <c:pt idx="6">
                <c:v>8</c:v>
              </c:pt>
              <c:pt idx="7">
                <c:v>6</c:v>
              </c:pt>
              <c:pt idx="8">
                <c:v>26</c:v>
              </c:pt>
              <c:pt idx="9">
                <c:v>8</c:v>
              </c:pt>
              <c:pt idx="10">
                <c:v>403</c:v>
              </c:pt>
              <c:pt idx="11">
                <c:v>1841</c:v>
              </c:pt>
              <c:pt idx="12">
                <c:v>977</c:v>
              </c:pt>
              <c:pt idx="13">
                <c:v>1409</c:v>
              </c:pt>
              <c:pt idx="14">
                <c:v>1950</c:v>
              </c:pt>
              <c:pt idx="15">
                <c:v>437</c:v>
              </c:pt>
            </c:numLit>
          </c:val>
          <c:extLst>
            <c:ext xmlns:c16="http://schemas.microsoft.com/office/drawing/2014/chart" uri="{C3380CC4-5D6E-409C-BE32-E72D297353CC}">
              <c16:uniqueId val="{00000001-7726-4345-BEA0-51C066126CCB}"/>
            </c:ext>
          </c:extLst>
        </c:ser>
        <c:dLbls>
          <c:showLegendKey val="0"/>
          <c:showVal val="0"/>
          <c:showCatName val="0"/>
          <c:showSerName val="0"/>
          <c:showPercent val="0"/>
          <c:showBubbleSize val="0"/>
        </c:dLbls>
        <c:gapWidth val="150"/>
        <c:axId val="224109624"/>
        <c:axId val="224112576"/>
      </c:barChart>
      <c:valAx>
        <c:axId val="224112576"/>
        <c:scaling>
          <c:orientation val="minMax"/>
        </c:scaling>
        <c:delete val="0"/>
        <c:axPos val="l"/>
        <c:majorGridlines>
          <c:spPr>
            <a:ln>
              <a:solidFill>
                <a:srgbClr val="B3B3B3"/>
              </a:solidFill>
            </a:ln>
          </c:spPr>
        </c:majorGridlines>
        <c:numFmt formatCode="General" sourceLinked="0"/>
        <c:majorTickMark val="none"/>
        <c:minorTickMark val="none"/>
        <c:tickLblPos val="nextTo"/>
        <c:spPr>
          <a:ln>
            <a:solidFill>
              <a:srgbClr val="B3B3B3"/>
            </a:solidFill>
          </a:ln>
        </c:spPr>
        <c:txPr>
          <a:bodyPr/>
          <a:lstStyle/>
          <a:p>
            <a:pPr>
              <a:defRPr sz="1200" b="0">
                <a:latin typeface="Liberation Serif" pitchFamily="16"/>
              </a:defRPr>
            </a:pPr>
            <a:endParaRPr lang="sk-SK"/>
          </a:p>
        </c:txPr>
        <c:crossAx val="224109624"/>
        <c:crossesAt val="1"/>
        <c:crossBetween val="between"/>
      </c:valAx>
      <c:catAx>
        <c:axId val="224109624"/>
        <c:scaling>
          <c:orientation val="minMax"/>
        </c:scaling>
        <c:delete val="0"/>
        <c:axPos val="b"/>
        <c:numFmt formatCode="General" sourceLinked="0"/>
        <c:majorTickMark val="none"/>
        <c:minorTickMark val="none"/>
        <c:tickLblPos val="nextTo"/>
        <c:spPr>
          <a:ln>
            <a:solidFill>
              <a:srgbClr val="B3B3B3"/>
            </a:solidFill>
          </a:ln>
        </c:spPr>
        <c:txPr>
          <a:bodyPr/>
          <a:lstStyle/>
          <a:p>
            <a:pPr>
              <a:defRPr sz="1000" b="0">
                <a:latin typeface="Liberation Serif" pitchFamily="16"/>
              </a:defRPr>
            </a:pPr>
            <a:endParaRPr lang="sk-SK"/>
          </a:p>
        </c:txPr>
        <c:crossAx val="224112576"/>
        <c:crossesAt val="0"/>
        <c:auto val="1"/>
        <c:lblAlgn val="ctr"/>
        <c:lblOffset val="100"/>
        <c:noMultiLvlLbl val="0"/>
      </c:catAx>
      <c:spPr>
        <a:noFill/>
        <a:ln>
          <a:solidFill>
            <a:srgbClr val="B3B3B3"/>
          </a:solidFill>
          <a:prstDash val="solid"/>
        </a:ln>
      </c:spPr>
    </c:plotArea>
    <c:legend>
      <c:legendPos val="r"/>
      <c:layout>
        <c:manualLayout>
          <c:xMode val="edge"/>
          <c:yMode val="edge"/>
          <c:x val="0.82053535463302119"/>
          <c:y val="5.2791093194887291E-2"/>
          <c:w val="0.15794195436061309"/>
          <c:h val="0.15112430820706407"/>
        </c:manualLayout>
      </c:layout>
      <c:overlay val="0"/>
      <c:spPr>
        <a:noFill/>
        <a:ln>
          <a:noFill/>
        </a:ln>
      </c:spPr>
      <c:txPr>
        <a:bodyPr/>
        <a:lstStyle/>
        <a:p>
          <a:pPr>
            <a:defRPr sz="1200" b="0">
              <a:latin typeface="Liberation Serif" pitchFamily="16"/>
            </a:defRPr>
          </a:pPr>
          <a:endParaRPr lang="sk-SK"/>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8: Počet datasetov podľa veľkosti</a:t>
            </a:r>
          </a:p>
        </c:rich>
      </c:tx>
      <c:layout>
        <c:manualLayout>
          <c:xMode val="edge"/>
          <c:yMode val="edge"/>
          <c:x val="0.29076470588235298"/>
          <c:y val="0.89614285714285713"/>
        </c:manualLayout>
      </c:layout>
      <c:overlay val="0"/>
    </c:title>
    <c:autoTitleDeleted val="0"/>
    <c:plotArea>
      <c:layout>
        <c:manualLayout>
          <c:layoutTarget val="inner"/>
          <c:xMode val="edge"/>
          <c:yMode val="edge"/>
          <c:x val="9.0332780727821513E-2"/>
          <c:y val="7.3117050844834885E-2"/>
          <c:w val="0.88683853814734714"/>
          <c:h val="0.57435876071046676"/>
        </c:manualLayout>
      </c:layout>
      <c:barChart>
        <c:barDir val="col"/>
        <c:grouping val="clustered"/>
        <c:varyColors val="0"/>
        <c:ser>
          <c:idx val="0"/>
          <c:order val="0"/>
          <c:tx>
            <c:v>počet</c:v>
          </c:tx>
          <c:spPr>
            <a:solidFill>
              <a:srgbClr val="004586"/>
            </a:solidFill>
            <a:ln>
              <a:noFill/>
            </a:ln>
          </c:spPr>
          <c:invertIfNegative val="0"/>
          <c:cat>
            <c:numLit>
              <c:formatCode>General</c:formatCode>
              <c:ptCount val="4"/>
              <c:pt idx="0">
                <c:v>1</c:v>
              </c:pt>
              <c:pt idx="1">
                <c:v>10</c:v>
              </c:pt>
              <c:pt idx="2">
                <c:v>100</c:v>
              </c:pt>
              <c:pt idx="3">
                <c:v>1000</c:v>
              </c:pt>
            </c:numLit>
          </c:cat>
          <c:val>
            <c:numLit>
              <c:formatCode>General</c:formatCode>
              <c:ptCount val="4"/>
              <c:pt idx="0">
                <c:v>3</c:v>
              </c:pt>
              <c:pt idx="1">
                <c:v>6379</c:v>
              </c:pt>
              <c:pt idx="2">
                <c:v>197</c:v>
              </c:pt>
              <c:pt idx="3">
                <c:v>30</c:v>
              </c:pt>
            </c:numLit>
          </c:val>
          <c:extLst>
            <c:ext xmlns:c16="http://schemas.microsoft.com/office/drawing/2014/chart" uri="{C3380CC4-5D6E-409C-BE32-E72D297353CC}">
              <c16:uniqueId val="{00000000-B02A-49A6-9C75-390FA7057653}"/>
            </c:ext>
          </c:extLst>
        </c:ser>
        <c:dLbls>
          <c:showLegendKey val="0"/>
          <c:showVal val="0"/>
          <c:showCatName val="0"/>
          <c:showSerName val="0"/>
          <c:showPercent val="0"/>
          <c:showBubbleSize val="0"/>
        </c:dLbls>
        <c:gapWidth val="150"/>
        <c:axId val="224112904"/>
        <c:axId val="224111592"/>
      </c:barChart>
      <c:valAx>
        <c:axId val="224111592"/>
        <c:scaling>
          <c:orientation val="minMax"/>
        </c:scaling>
        <c:delete val="0"/>
        <c:axPos val="l"/>
        <c:majorGridlines>
          <c:spPr>
            <a:ln>
              <a:solidFill>
                <a:srgbClr val="B3B3B3"/>
              </a:solidFill>
            </a:ln>
          </c:spPr>
        </c:majorGridlines>
        <c:numFmt formatCode="General" sourceLinked="0"/>
        <c:majorTickMark val="none"/>
        <c:minorTickMark val="none"/>
        <c:tickLblPos val="nextTo"/>
        <c:spPr>
          <a:ln>
            <a:solidFill>
              <a:srgbClr val="B3B3B3"/>
            </a:solidFill>
          </a:ln>
        </c:spPr>
        <c:txPr>
          <a:bodyPr/>
          <a:lstStyle/>
          <a:p>
            <a:pPr>
              <a:defRPr sz="1200" b="0">
                <a:latin typeface="Liberation Serif" pitchFamily="16"/>
              </a:defRPr>
            </a:pPr>
            <a:endParaRPr lang="sk-SK"/>
          </a:p>
        </c:txPr>
        <c:crossAx val="224112904"/>
        <c:crossesAt val="1"/>
        <c:crossBetween val="between"/>
      </c:valAx>
      <c:catAx>
        <c:axId val="224112904"/>
        <c:scaling>
          <c:orientation val="minMax"/>
        </c:scaling>
        <c:delete val="0"/>
        <c:axPos val="b"/>
        <c:title>
          <c:tx>
            <c:rich>
              <a:bodyPr/>
              <a:lstStyle/>
              <a:p>
                <a:pPr>
                  <a:defRPr sz="1200" b="0">
                    <a:latin typeface="Liberation Serif" pitchFamily="16"/>
                  </a:defRPr>
                </a:pPr>
                <a:r>
                  <a:rPr lang="sk-SK"/>
                  <a:t>veľkosť rádovo v MiB</a:t>
                </a:r>
              </a:p>
            </c:rich>
          </c:tx>
          <c:layout>
            <c:manualLayout>
              <c:xMode val="edge"/>
              <c:yMode val="edge"/>
              <c:x val="0.76700000000000002"/>
              <c:y val="0.80071388888888895"/>
            </c:manualLayout>
          </c:layout>
          <c:overlay val="0"/>
        </c:title>
        <c:numFmt formatCode="General" sourceLinked="0"/>
        <c:majorTickMark val="none"/>
        <c:minorTickMark val="none"/>
        <c:tickLblPos val="nextTo"/>
        <c:spPr>
          <a:ln>
            <a:solidFill>
              <a:srgbClr val="B3B3B3"/>
            </a:solidFill>
          </a:ln>
        </c:spPr>
        <c:txPr>
          <a:bodyPr/>
          <a:lstStyle/>
          <a:p>
            <a:pPr>
              <a:defRPr sz="1200" b="0">
                <a:latin typeface="Liberation Serif" pitchFamily="16"/>
              </a:defRPr>
            </a:pPr>
            <a:endParaRPr lang="sk-SK"/>
          </a:p>
        </c:txPr>
        <c:crossAx val="224111592"/>
        <c:crossesAt val="0"/>
        <c:auto val="1"/>
        <c:lblAlgn val="ctr"/>
        <c:lblOffset val="100"/>
        <c:noMultiLvlLbl val="0"/>
      </c:catAx>
      <c:spPr>
        <a:noFill/>
        <a:ln>
          <a:solidFill>
            <a:srgbClr val="B3B3B3"/>
          </a:solidFill>
          <a:prstDash val="solid"/>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Liberation Serif" pitchFamily="16"/>
              </a:defRPr>
            </a:pPr>
            <a:r>
              <a:rPr lang="sk-SK"/>
              <a:t>Graf 9: Hodnotenie formátu hviezdičkami</a:t>
            </a:r>
          </a:p>
        </c:rich>
      </c:tx>
      <c:layout>
        <c:manualLayout>
          <c:xMode val="edge"/>
          <c:yMode val="edge"/>
          <c:x val="0.27417630718954245"/>
          <c:y val="0.90011080246913577"/>
        </c:manualLayout>
      </c:layout>
      <c:overlay val="0"/>
    </c:title>
    <c:autoTitleDeleted val="0"/>
    <c:view3D>
      <c:rotX val="30"/>
      <c:rotY val="90"/>
      <c:rAngAx val="1"/>
    </c:view3D>
    <c:floor>
      <c:thickness val="0"/>
      <c:spPr>
        <a:solidFill>
          <a:srgbClr val="CCCCCC"/>
        </a:solidFill>
        <a:ln>
          <a:solidFill>
            <a:srgbClr val="B3B3B3"/>
          </a:solidFill>
        </a:ln>
      </c:spPr>
    </c:floor>
    <c:sideWall>
      <c:thickness val="0"/>
      <c:spPr>
        <a:noFill/>
        <a:ln>
          <a:solidFill>
            <a:srgbClr val="B3B3B3"/>
          </a:solidFill>
          <a:prstDash val="solid"/>
        </a:ln>
      </c:spPr>
    </c:sideWall>
    <c:backWall>
      <c:thickness val="0"/>
      <c:spPr>
        <a:noFill/>
        <a:ln>
          <a:solidFill>
            <a:srgbClr val="B3B3B3"/>
          </a:solidFill>
          <a:prstDash val="solid"/>
        </a:ln>
      </c:spPr>
    </c:backWall>
    <c:plotArea>
      <c:layout>
        <c:manualLayout>
          <c:xMode val="edge"/>
          <c:yMode val="edge"/>
          <c:x val="0.27664705882352941"/>
          <c:y val="2.0888888888888887E-2"/>
          <c:w val="0.72311764705882353"/>
          <c:h val="0.81955555555555559"/>
        </c:manualLayout>
      </c:layout>
      <c:pie3DChart>
        <c:varyColors val="1"/>
        <c:ser>
          <c:idx val="0"/>
          <c:order val="0"/>
          <c:tx>
            <c:v>Počet datasetov</c:v>
          </c:tx>
          <c:dPt>
            <c:idx val="0"/>
            <c:bubble3D val="0"/>
            <c:spPr>
              <a:solidFill>
                <a:srgbClr val="81D41A"/>
              </a:solidFill>
            </c:spPr>
            <c:extLst>
              <c:ext xmlns:c16="http://schemas.microsoft.com/office/drawing/2014/chart" uri="{C3380CC4-5D6E-409C-BE32-E72D297353CC}">
                <c16:uniqueId val="{00000001-062B-4A7E-B4E4-394D216F9772}"/>
              </c:ext>
            </c:extLst>
          </c:dPt>
          <c:dPt>
            <c:idx val="1"/>
            <c:bubble3D val="0"/>
            <c:spPr>
              <a:solidFill>
                <a:srgbClr val="729FCF"/>
              </a:solidFill>
            </c:spPr>
            <c:extLst>
              <c:ext xmlns:c16="http://schemas.microsoft.com/office/drawing/2014/chart" uri="{C3380CC4-5D6E-409C-BE32-E72D297353CC}">
                <c16:uniqueId val="{00000003-062B-4A7E-B4E4-394D216F9772}"/>
              </c:ext>
            </c:extLst>
          </c:dPt>
          <c:dPt>
            <c:idx val="2"/>
            <c:bubble3D val="0"/>
            <c:spPr>
              <a:solidFill>
                <a:srgbClr val="FF0000"/>
              </a:solidFill>
            </c:spPr>
            <c:extLst>
              <c:ext xmlns:c16="http://schemas.microsoft.com/office/drawing/2014/chart" uri="{C3380CC4-5D6E-409C-BE32-E72D297353CC}">
                <c16:uniqueId val="{00000005-062B-4A7E-B4E4-394D216F9772}"/>
              </c:ext>
            </c:extLst>
          </c:dPt>
          <c:dPt>
            <c:idx val="3"/>
            <c:bubble3D val="0"/>
            <c:spPr>
              <a:solidFill>
                <a:srgbClr val="333333"/>
              </a:solidFill>
            </c:spPr>
            <c:extLst>
              <c:ext xmlns:c16="http://schemas.microsoft.com/office/drawing/2014/chart" uri="{C3380CC4-5D6E-409C-BE32-E72D297353CC}">
                <c16:uniqueId val="{00000007-062B-4A7E-B4E4-394D216F9772}"/>
              </c:ext>
            </c:extLst>
          </c:dPt>
          <c:dLbls>
            <c:spPr>
              <a:noFill/>
              <a:ln>
                <a:noFill/>
              </a:ln>
              <a:effectLst/>
            </c:spPr>
            <c:txPr>
              <a:bodyPr wrap="square" lIns="38100" tIns="19050" rIns="38100" bIns="19050" anchor="ctr">
                <a:spAutoFit/>
              </a:bodyPr>
              <a:lstStyle/>
              <a:p>
                <a:pPr>
                  <a:defRPr sz="1200" b="1">
                    <a:latin typeface="Liberation Serif" pitchFamily="16"/>
                  </a:defRPr>
                </a:pPr>
                <a:endParaRPr lang="sk-SK"/>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4"/>
              <c:pt idx="0">
                <c:v>*** CSV/XML/HTML/XHTML/JSON</c:v>
              </c:pt>
              <c:pt idx="1">
                <c:v>**   XLSX/XLS</c:v>
              </c:pt>
              <c:pt idx="2">
                <c:v>*     PDF</c:v>
              </c:pt>
              <c:pt idx="3">
                <c:v>iné (nezaradené)</c:v>
              </c:pt>
            </c:strLit>
          </c:cat>
          <c:val>
            <c:numLit>
              <c:formatCode>General</c:formatCode>
              <c:ptCount val="4"/>
              <c:pt idx="0">
                <c:v>2291</c:v>
              </c:pt>
              <c:pt idx="1">
                <c:v>454</c:v>
              </c:pt>
              <c:pt idx="2">
                <c:v>179</c:v>
              </c:pt>
              <c:pt idx="3">
                <c:v>149</c:v>
              </c:pt>
            </c:numLit>
          </c:val>
          <c:extLst>
            <c:ext xmlns:c16="http://schemas.microsoft.com/office/drawing/2014/chart" uri="{C3380CC4-5D6E-409C-BE32-E72D297353CC}">
              <c16:uniqueId val="{00000008-062B-4A7E-B4E4-394D216F9772}"/>
            </c:ext>
          </c:extLst>
        </c:ser>
        <c:dLbls>
          <c:showLegendKey val="0"/>
          <c:showVal val="0"/>
          <c:showCatName val="0"/>
          <c:showSerName val="0"/>
          <c:showPercent val="0"/>
          <c:showBubbleSize val="0"/>
          <c:showLeaderLines val="1"/>
        </c:dLbls>
      </c:pie3DChart>
    </c:plotArea>
    <c:legend>
      <c:legendPos val="r"/>
      <c:layout>
        <c:manualLayout>
          <c:xMode val="edge"/>
          <c:yMode val="edge"/>
          <c:x val="0"/>
          <c:y val="0"/>
        </c:manualLayout>
      </c:layout>
      <c:overlay val="0"/>
      <c:spPr>
        <a:noFill/>
        <a:ln>
          <a:noFill/>
        </a:ln>
      </c:spPr>
      <c:txPr>
        <a:bodyPr/>
        <a:lstStyle/>
        <a:p>
          <a:pPr>
            <a:defRPr sz="1200" b="0">
              <a:latin typeface="Liberation Serif" pitchFamily="16"/>
            </a:defRPr>
          </a:pPr>
          <a:endParaRPr lang="sk-SK"/>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4053</Words>
  <Characters>23108</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Bernátová</dc:creator>
  <cp:keywords/>
  <dc:description/>
  <cp:lastModifiedBy>Lucia Bernátová</cp:lastModifiedBy>
  <cp:revision>3</cp:revision>
  <dcterms:created xsi:type="dcterms:W3CDTF">2019-07-02T12:37:00Z</dcterms:created>
  <dcterms:modified xsi:type="dcterms:W3CDTF">2019-07-02T12:42:00Z</dcterms:modified>
</cp:coreProperties>
</file>